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4458B" w14:textId="77777777" w:rsidR="00572DD8" w:rsidRPr="00197449" w:rsidRDefault="00572DD8" w:rsidP="00572DD8">
      <w:pPr>
        <w:bidi/>
        <w:ind w:firstLine="163"/>
        <w:jc w:val="both"/>
        <w:rPr>
          <w:color w:val="FF0000"/>
          <w:rtl/>
        </w:rPr>
      </w:pPr>
      <w:r w:rsidRPr="00197449">
        <w:rPr>
          <w:rFonts w:hint="cs"/>
          <w:color w:val="FF0000"/>
          <w:rtl/>
        </w:rPr>
        <w:t>خلاصه بحث</w:t>
      </w:r>
    </w:p>
    <w:p w14:paraId="797CCACC" w14:textId="77777777" w:rsidR="00572DD8" w:rsidRDefault="00572DD8" w:rsidP="00572DD8">
      <w:pPr>
        <w:bidi/>
        <w:ind w:firstLine="163"/>
        <w:jc w:val="both"/>
        <w:rPr>
          <w:rFonts w:hint="cs"/>
          <w:rtl/>
        </w:rPr>
      </w:pPr>
      <w:r>
        <w:rPr>
          <w:rFonts w:hint="cs"/>
          <w:rtl/>
        </w:rPr>
        <w:t>نماز جمعه در عصر غیبت به نظر برخی از علماء واجب تعیینی است، منتهی این قول خلاف مشهور است، و مشهور قائل به وجوب تخییری نماز جمعه و استحباب ترجیح نماز جمعه بر نماز ظهر هستند، و بر این قول ادعای اجماع نیز شده است.</w:t>
      </w:r>
    </w:p>
    <w:p w14:paraId="437CE421" w14:textId="77777777" w:rsidR="00572DD8" w:rsidRPr="007B4240" w:rsidRDefault="00572DD8" w:rsidP="00572DD8">
      <w:pPr>
        <w:bidi/>
        <w:ind w:firstLine="163"/>
        <w:jc w:val="both"/>
        <w:rPr>
          <w:rtl/>
        </w:rPr>
      </w:pPr>
    </w:p>
    <w:p w14:paraId="29488EBF" w14:textId="77777777" w:rsidR="00572DD8" w:rsidRPr="00197449" w:rsidRDefault="00572DD8" w:rsidP="00572DD8">
      <w:pPr>
        <w:bidi/>
        <w:ind w:firstLine="163"/>
        <w:jc w:val="both"/>
        <w:rPr>
          <w:color w:val="FF0000"/>
          <w:rtl/>
        </w:rPr>
      </w:pPr>
      <w:r w:rsidRPr="00197449">
        <w:rPr>
          <w:rFonts w:hint="cs"/>
          <w:color w:val="FF0000"/>
          <w:rtl/>
        </w:rPr>
        <w:t>تنقیح کلمات اصحاب</w:t>
      </w:r>
    </w:p>
    <w:p w14:paraId="5F98F72C" w14:textId="77777777" w:rsidR="00572DD8" w:rsidRPr="007B4240" w:rsidRDefault="00572DD8" w:rsidP="00572DD8">
      <w:pPr>
        <w:bidi/>
        <w:ind w:firstLine="163"/>
        <w:jc w:val="both"/>
        <w:rPr>
          <w:rtl/>
        </w:rPr>
      </w:pPr>
      <w:r w:rsidRPr="007B4240">
        <w:rPr>
          <w:rFonts w:hint="cs"/>
          <w:rtl/>
        </w:rPr>
        <w:t>از کلام صاحب</w:t>
      </w:r>
      <w:r w:rsidRPr="007B4240">
        <w:rPr>
          <w:rtl/>
        </w:rPr>
        <w:t xml:space="preserve"> جواهر</w:t>
      </w:r>
      <w:r w:rsidRPr="007B4240">
        <w:rPr>
          <w:rFonts w:hint="cs"/>
          <w:rtl/>
        </w:rPr>
        <w:t xml:space="preserve"> </w:t>
      </w:r>
      <w:r w:rsidRPr="007B4240">
        <w:rPr>
          <w:rtl/>
        </w:rPr>
        <w:t>استفاده م</w:t>
      </w:r>
      <w:r w:rsidRPr="007B4240">
        <w:rPr>
          <w:rFonts w:hint="cs"/>
          <w:rtl/>
        </w:rPr>
        <w:t>ی شود</w:t>
      </w:r>
      <w:r w:rsidRPr="007B4240">
        <w:rPr>
          <w:rtl/>
        </w:rPr>
        <w:t xml:space="preserve"> که </w:t>
      </w:r>
      <w:r w:rsidRPr="007B4240">
        <w:rPr>
          <w:rFonts w:hint="cs"/>
          <w:rtl/>
        </w:rPr>
        <w:t xml:space="preserve">ما </w:t>
      </w:r>
      <w:r w:rsidRPr="007B4240">
        <w:rPr>
          <w:rtl/>
        </w:rPr>
        <w:t>به دو طر</w:t>
      </w:r>
      <w:r w:rsidRPr="007B4240">
        <w:rPr>
          <w:rFonts w:hint="cs"/>
          <w:rtl/>
        </w:rPr>
        <w:t>یق</w:t>
      </w:r>
      <w:r w:rsidRPr="007B4240">
        <w:rPr>
          <w:rtl/>
        </w:rPr>
        <w:t xml:space="preserve"> م</w:t>
      </w:r>
      <w:r w:rsidRPr="007B4240">
        <w:rPr>
          <w:rFonts w:hint="cs"/>
          <w:rtl/>
        </w:rPr>
        <w:t>ی‌توانیم</w:t>
      </w:r>
      <w:r w:rsidRPr="007B4240">
        <w:rPr>
          <w:rtl/>
        </w:rPr>
        <w:t xml:space="preserve"> آرا</w:t>
      </w:r>
      <w:r w:rsidRPr="007B4240">
        <w:rPr>
          <w:rFonts w:hint="cs"/>
          <w:rtl/>
        </w:rPr>
        <w:t>ی</w:t>
      </w:r>
      <w:r w:rsidRPr="007B4240">
        <w:rPr>
          <w:rtl/>
        </w:rPr>
        <w:t xml:space="preserve"> اصحاب در حکم نماز جمعه در عصر غ</w:t>
      </w:r>
      <w:r w:rsidRPr="007B4240">
        <w:rPr>
          <w:rFonts w:hint="cs"/>
          <w:rtl/>
        </w:rPr>
        <w:t>یبت را</w:t>
      </w:r>
      <w:r w:rsidRPr="007B4240">
        <w:rPr>
          <w:rtl/>
        </w:rPr>
        <w:t xml:space="preserve"> ب</w:t>
      </w:r>
      <w:r w:rsidRPr="007B4240">
        <w:rPr>
          <w:rFonts w:hint="cs"/>
          <w:rtl/>
        </w:rPr>
        <w:t>ه</w:t>
      </w:r>
      <w:r w:rsidRPr="007B4240">
        <w:rPr>
          <w:rtl/>
        </w:rPr>
        <w:t xml:space="preserve"> دست ب</w:t>
      </w:r>
      <w:r w:rsidRPr="007B4240">
        <w:rPr>
          <w:rFonts w:hint="cs"/>
          <w:rtl/>
        </w:rPr>
        <w:t>یاوریم،</w:t>
      </w:r>
      <w:r w:rsidRPr="007B4240">
        <w:rPr>
          <w:rtl/>
        </w:rPr>
        <w:t xml:space="preserve"> </w:t>
      </w:r>
      <w:r w:rsidRPr="007B4240">
        <w:rPr>
          <w:rFonts w:hint="cs"/>
          <w:rtl/>
        </w:rPr>
        <w:t>یکی اینکه به معاقد اجماعات تکیه کنیم و بر اساس این اجماع منقول، نظر علماء را به دست بیاوریم، و راه دوم اینکه به این نقل اجماعات اکتفاء نکنیم و خودمان دنبال فحص از آحاد فتاوی باشیم و در این فحص میدانی، آرای فقهای متقدم، و متأخر و متأخر المتأخرین را بررسی کرده و نظر تک تک علماء را به دست بیاوریم.</w:t>
      </w:r>
    </w:p>
    <w:p w14:paraId="0A4F3F42" w14:textId="77777777" w:rsidR="00572DD8" w:rsidRPr="007B4240" w:rsidRDefault="00572DD8" w:rsidP="00572DD8">
      <w:pPr>
        <w:bidi/>
        <w:ind w:firstLine="163"/>
        <w:jc w:val="both"/>
        <w:rPr>
          <w:rtl/>
        </w:rPr>
      </w:pPr>
      <w:r w:rsidRPr="007B4240">
        <w:rPr>
          <w:rFonts w:hint="cs"/>
          <w:rtl/>
        </w:rPr>
        <w:t xml:space="preserve">صاحب جواهر می فرماید راه اول و اطمینان به اجماع منقول، پایین تر از راه دوم است، و تکیه کردن به نقل اجماعات، درجه اطمینانش کمتر از این است که خود انسان فحص کند و آحاد آرای فقهاء را ببیند. </w:t>
      </w:r>
    </w:p>
    <w:p w14:paraId="1D3A8C83" w14:textId="77777777" w:rsidR="00572DD8" w:rsidRPr="007B4240" w:rsidRDefault="00572DD8" w:rsidP="00572DD8">
      <w:pPr>
        <w:bidi/>
        <w:ind w:firstLine="163"/>
        <w:jc w:val="both"/>
        <w:rPr>
          <w:rtl/>
        </w:rPr>
      </w:pPr>
      <w:r w:rsidRPr="007B4240">
        <w:rPr>
          <w:rtl/>
        </w:rPr>
        <w:t>از ا</w:t>
      </w:r>
      <w:r w:rsidRPr="007B4240">
        <w:rPr>
          <w:rFonts w:hint="cs"/>
          <w:rtl/>
        </w:rPr>
        <w:t>ین</w:t>
      </w:r>
      <w:r w:rsidRPr="007B4240">
        <w:rPr>
          <w:rtl/>
        </w:rPr>
        <w:t xml:space="preserve"> کلام</w:t>
      </w:r>
      <w:r w:rsidRPr="007B4240">
        <w:rPr>
          <w:rFonts w:hint="cs"/>
          <w:rtl/>
        </w:rPr>
        <w:t xml:space="preserve"> ایشان</w:t>
      </w:r>
      <w:r w:rsidRPr="007B4240">
        <w:rPr>
          <w:rtl/>
        </w:rPr>
        <w:t xml:space="preserve"> استفاده م</w:t>
      </w:r>
      <w:r w:rsidRPr="007B4240">
        <w:rPr>
          <w:rFonts w:hint="cs"/>
          <w:rtl/>
        </w:rPr>
        <w:t>ی شود</w:t>
      </w:r>
      <w:r w:rsidRPr="007B4240">
        <w:rPr>
          <w:rtl/>
        </w:rPr>
        <w:t xml:space="preserve"> که قوت و اتقان تحص</w:t>
      </w:r>
      <w:r w:rsidRPr="007B4240">
        <w:rPr>
          <w:rFonts w:hint="cs"/>
          <w:rtl/>
        </w:rPr>
        <w:t>یل</w:t>
      </w:r>
      <w:r w:rsidRPr="007B4240">
        <w:rPr>
          <w:rtl/>
        </w:rPr>
        <w:t xml:space="preserve"> آرا</w:t>
      </w:r>
      <w:r w:rsidRPr="007B4240">
        <w:rPr>
          <w:rFonts w:hint="cs"/>
          <w:rtl/>
        </w:rPr>
        <w:t>ی</w:t>
      </w:r>
      <w:r w:rsidRPr="007B4240">
        <w:rPr>
          <w:rtl/>
        </w:rPr>
        <w:t xml:space="preserve"> فقها</w:t>
      </w:r>
      <w:r w:rsidRPr="007B4240">
        <w:rPr>
          <w:rFonts w:hint="cs"/>
          <w:rtl/>
        </w:rPr>
        <w:t>ء</w:t>
      </w:r>
      <w:r w:rsidRPr="007B4240">
        <w:rPr>
          <w:rtl/>
        </w:rPr>
        <w:t xml:space="preserve"> در </w:t>
      </w:r>
      <w:r w:rsidRPr="007B4240">
        <w:rPr>
          <w:rFonts w:hint="cs"/>
          <w:rtl/>
        </w:rPr>
        <w:t>فحص</w:t>
      </w:r>
      <w:r w:rsidRPr="007B4240">
        <w:rPr>
          <w:rtl/>
        </w:rPr>
        <w:t xml:space="preserve"> م</w:t>
      </w:r>
      <w:r w:rsidRPr="007B4240">
        <w:rPr>
          <w:rFonts w:hint="cs"/>
          <w:rtl/>
        </w:rPr>
        <w:t>یدانی،</w:t>
      </w:r>
      <w:r w:rsidRPr="007B4240">
        <w:rPr>
          <w:rtl/>
        </w:rPr>
        <w:t xml:space="preserve"> از </w:t>
      </w:r>
      <w:r w:rsidRPr="007B4240">
        <w:rPr>
          <w:rFonts w:hint="cs"/>
          <w:rtl/>
        </w:rPr>
        <w:t>نقل اجماع منقول</w:t>
      </w:r>
      <w:r w:rsidRPr="007B4240">
        <w:rPr>
          <w:rtl/>
        </w:rPr>
        <w:t xml:space="preserve"> قو</w:t>
      </w:r>
      <w:r w:rsidRPr="007B4240">
        <w:rPr>
          <w:rFonts w:hint="cs"/>
          <w:rtl/>
        </w:rPr>
        <w:t>ی تر و اطمینان بخش تر</w:t>
      </w:r>
      <w:r w:rsidRPr="007B4240">
        <w:rPr>
          <w:rtl/>
        </w:rPr>
        <w:t xml:space="preserve"> </w:t>
      </w:r>
      <w:r w:rsidRPr="007B4240">
        <w:rPr>
          <w:rFonts w:hint="cs"/>
          <w:rtl/>
        </w:rPr>
        <w:t>ا</w:t>
      </w:r>
      <w:r w:rsidRPr="007B4240">
        <w:rPr>
          <w:rtl/>
        </w:rPr>
        <w:t>ست</w:t>
      </w:r>
      <w:r w:rsidRPr="007B4240">
        <w:rPr>
          <w:rFonts w:hint="cs"/>
          <w:rtl/>
        </w:rPr>
        <w:t>.</w:t>
      </w:r>
    </w:p>
    <w:p w14:paraId="6A2D46A5" w14:textId="77777777" w:rsidR="00572DD8" w:rsidRPr="007B4240" w:rsidRDefault="00572DD8" w:rsidP="00572DD8">
      <w:pPr>
        <w:bidi/>
        <w:ind w:firstLine="163"/>
        <w:jc w:val="both"/>
        <w:rPr>
          <w:rtl/>
        </w:rPr>
      </w:pPr>
      <w:r w:rsidRPr="007B4240">
        <w:rPr>
          <w:rFonts w:hint="cs"/>
          <w:rtl/>
        </w:rPr>
        <w:t>ف</w:t>
      </w:r>
      <w:r w:rsidRPr="007B4240">
        <w:rPr>
          <w:rtl/>
        </w:rPr>
        <w:t xml:space="preserve">لذا </w:t>
      </w:r>
      <w:r w:rsidRPr="007B4240">
        <w:rPr>
          <w:rFonts w:hint="cs"/>
          <w:rtl/>
        </w:rPr>
        <w:t>در همین بحث و</w:t>
      </w:r>
      <w:r w:rsidRPr="007B4240">
        <w:rPr>
          <w:rtl/>
        </w:rPr>
        <w:t xml:space="preserve">جوب </w:t>
      </w:r>
      <w:r w:rsidRPr="007B4240">
        <w:rPr>
          <w:rFonts w:hint="cs"/>
          <w:rtl/>
        </w:rPr>
        <w:t xml:space="preserve">صلاة جمعه، </w:t>
      </w:r>
      <w:r w:rsidRPr="007B4240">
        <w:rPr>
          <w:rtl/>
        </w:rPr>
        <w:t>مق</w:t>
      </w:r>
      <w:r w:rsidRPr="007B4240">
        <w:rPr>
          <w:rFonts w:hint="cs"/>
          <w:rtl/>
        </w:rPr>
        <w:t>ید هستیم که به نقل اجماعات اکتفاء نکنیم و خودمان نیز فحص از کلمات اصحاب کنیم و عین کلامشان را بیاوریم. یعنی سعی مان این است که هر دو راه را پیش بگیریم، هم نقل اجماع منقول کنیم، و هم اینکه تک تک اقوال علماء را نیز بیاوریم.</w:t>
      </w:r>
    </w:p>
    <w:p w14:paraId="65FC059A" w14:textId="77777777" w:rsidR="00572DD8" w:rsidRPr="007B4240" w:rsidRDefault="00572DD8" w:rsidP="00572DD8">
      <w:pPr>
        <w:bidi/>
        <w:ind w:firstLine="163"/>
        <w:jc w:val="both"/>
        <w:rPr>
          <w:rtl/>
        </w:rPr>
      </w:pPr>
    </w:p>
    <w:p w14:paraId="106FC0BC" w14:textId="77777777" w:rsidR="00572DD8" w:rsidRPr="00197449" w:rsidRDefault="00572DD8" w:rsidP="00572DD8">
      <w:pPr>
        <w:bidi/>
        <w:ind w:firstLine="163"/>
        <w:jc w:val="both"/>
        <w:rPr>
          <w:color w:val="FF0000"/>
          <w:rtl/>
        </w:rPr>
      </w:pPr>
      <w:r w:rsidRPr="00197449">
        <w:rPr>
          <w:rFonts w:hint="cs"/>
          <w:color w:val="FF0000"/>
          <w:rtl/>
        </w:rPr>
        <w:t>قائلین به وجوب تعیینی</w:t>
      </w:r>
    </w:p>
    <w:p w14:paraId="2A41B355" w14:textId="77777777" w:rsidR="00572DD8" w:rsidRPr="007B4240" w:rsidRDefault="00572DD8" w:rsidP="00572DD8">
      <w:pPr>
        <w:bidi/>
        <w:ind w:firstLine="163"/>
        <w:jc w:val="both"/>
        <w:rPr>
          <w:rtl/>
        </w:rPr>
      </w:pPr>
      <w:r w:rsidRPr="007B4240">
        <w:rPr>
          <w:rFonts w:hint="cs"/>
          <w:rtl/>
        </w:rPr>
        <w:lastRenderedPageBreak/>
        <w:t xml:space="preserve">محدث بحرانی اختلاف فقهاء در حکم نماز جمعه را بیان کرده و می فرماید که برخی از علماء قائل به وجوب تعیینی هستند و نام قائلین به این قول را نیز ذکر می کند و خود نیز همین قول را اختیار کرده است. </w:t>
      </w:r>
    </w:p>
    <w:p w14:paraId="35897ED9" w14:textId="77777777" w:rsidR="00572DD8" w:rsidRPr="007B4240" w:rsidRDefault="00572DD8" w:rsidP="00572DD8">
      <w:pPr>
        <w:bidi/>
        <w:ind w:firstLine="163"/>
        <w:jc w:val="both"/>
        <w:rPr>
          <w:rtl/>
        </w:rPr>
      </w:pPr>
      <w:r w:rsidRPr="007B4240">
        <w:rPr>
          <w:rFonts w:hint="cs"/>
          <w:rtl/>
        </w:rPr>
        <w:t>عبارت ایشان این است:</w:t>
      </w:r>
    </w:p>
    <w:p w14:paraId="76D422CB" w14:textId="77777777" w:rsidR="00572DD8" w:rsidRDefault="00572DD8" w:rsidP="00572DD8">
      <w:pPr>
        <w:bidi/>
        <w:ind w:firstLine="163"/>
        <w:jc w:val="both"/>
        <w:rPr>
          <w:rFonts w:hint="cs"/>
          <w:rtl/>
        </w:rPr>
      </w:pPr>
      <w:r w:rsidRPr="00197449">
        <w:rPr>
          <w:rFonts w:hint="cs"/>
          <w:color w:val="000080"/>
          <w:rtl/>
        </w:rPr>
        <w:t>«و لا خلاف بين أصحابنا في وجوبها عينا مع حضوره عليه السلام أو نائبه الخاص و انما الخلاف في زمن الغيبة و عدم وجود الاذن على الخصوص على أقوال: الأول: القول بالوجوب العيني و هو المختار المعتضد بالآية و الأخبار و به صرح جملة من مشاهير علمائنا الأبرار (رضوان الله عليهم) متقدميهم و متأخريهم».</w:t>
      </w:r>
      <w:r>
        <w:rPr>
          <w:rStyle w:val="a5"/>
          <w:rtl/>
        </w:rPr>
        <w:footnoteReference w:id="1"/>
      </w:r>
    </w:p>
    <w:p w14:paraId="4347CF64" w14:textId="77777777" w:rsidR="00572DD8" w:rsidRPr="007B4240" w:rsidRDefault="00572DD8" w:rsidP="00572DD8">
      <w:pPr>
        <w:bidi/>
        <w:ind w:firstLine="163"/>
        <w:jc w:val="both"/>
        <w:rPr>
          <w:rtl/>
        </w:rPr>
      </w:pPr>
      <w:r w:rsidRPr="007B4240">
        <w:rPr>
          <w:rFonts w:hint="cs"/>
          <w:rtl/>
        </w:rPr>
        <w:t xml:space="preserve">همانطور که قبلا هم بیان کردیم مراد امثال صاحب حدائق و صاحب جواهر و علمای قبل از آنان از تعبیر «وجوب عینی»، همان وجوب تعیینی است، چون این بزرگواران تعبیر «وجوب عینی» را در مقابل «وجوب تخییری» ذکر کرده اند، و همین قرینه است که مرادشان از «وجوب عینی» همان «وجوب تعیینی» است. </w:t>
      </w:r>
    </w:p>
    <w:p w14:paraId="34EBFCBB" w14:textId="77777777" w:rsidR="00572DD8" w:rsidRPr="007B4240" w:rsidRDefault="00572DD8" w:rsidP="00572DD8">
      <w:pPr>
        <w:bidi/>
        <w:ind w:firstLine="163"/>
        <w:jc w:val="both"/>
        <w:rPr>
          <w:rtl/>
        </w:rPr>
      </w:pPr>
      <w:r w:rsidRPr="007B4240">
        <w:rPr>
          <w:rFonts w:hint="cs"/>
          <w:rtl/>
        </w:rPr>
        <w:t>ایشان تعبیر «و هو المختار» را بکار برده و همین قول به وجوب تعیینی را اختیار کرده است و فرموده که آیه و روایات نیز بر همین قول دلالت دارند.</w:t>
      </w:r>
    </w:p>
    <w:p w14:paraId="5C4B5DC2" w14:textId="77777777" w:rsidR="00572DD8" w:rsidRPr="007B4240" w:rsidRDefault="00572DD8" w:rsidP="00572DD8">
      <w:pPr>
        <w:bidi/>
        <w:ind w:firstLine="163"/>
        <w:jc w:val="both"/>
        <w:rPr>
          <w:rtl/>
        </w:rPr>
      </w:pPr>
      <w:r w:rsidRPr="007B4240">
        <w:rPr>
          <w:rFonts w:hint="cs"/>
          <w:rtl/>
        </w:rPr>
        <w:t xml:space="preserve">وجه دلالت آیه بر وجوب تعیینی به این شکل است که آیه شریفه سوره جمعه که می فرماید: </w:t>
      </w:r>
      <w:r>
        <w:rPr>
          <w:rFonts w:ascii="Times New Roman" w:hAnsi="Times New Roman" w:cs="Times New Roman"/>
          <w:color w:val="007200"/>
          <w:rtl/>
        </w:rPr>
        <w:t>﴿فَاسْعَوْا إِلى‏ ذِكْرِ اللَّهِ‏﴾</w:t>
      </w:r>
      <w:r w:rsidRPr="007B4240">
        <w:rPr>
          <w:vertAlign w:val="superscript"/>
          <w:rtl/>
        </w:rPr>
        <w:footnoteReference w:id="2"/>
      </w:r>
      <w:r>
        <w:rPr>
          <w:rFonts w:hint="cs"/>
          <w:rtl/>
        </w:rPr>
        <w:t xml:space="preserve"> </w:t>
      </w:r>
      <w:r w:rsidRPr="007B4240">
        <w:rPr>
          <w:rFonts w:hint="cs"/>
          <w:rtl/>
        </w:rPr>
        <w:t xml:space="preserve">اطلاق دارد، و اطلاق صیغه دلالت بر تعیینیت دارد. </w:t>
      </w:r>
    </w:p>
    <w:p w14:paraId="5258D4C9" w14:textId="77777777" w:rsidR="00572DD8" w:rsidRPr="007B4240" w:rsidRDefault="00572DD8" w:rsidP="00572DD8">
      <w:pPr>
        <w:bidi/>
        <w:ind w:firstLine="163"/>
        <w:jc w:val="both"/>
        <w:rPr>
          <w:rtl/>
        </w:rPr>
      </w:pPr>
      <w:r w:rsidRPr="007B4240">
        <w:rPr>
          <w:rFonts w:hint="cs"/>
          <w:rtl/>
        </w:rPr>
        <w:t>سپس ایشان نام بزرگان و معاریف از علمایی که قائل به این قول هستند را آورده است و نص کلام هرکدام را نیز ذکر کرده است.</w:t>
      </w:r>
    </w:p>
    <w:p w14:paraId="34E7FFC8" w14:textId="77777777" w:rsidR="00572DD8" w:rsidRPr="007B4240" w:rsidRDefault="00572DD8" w:rsidP="00572DD8">
      <w:pPr>
        <w:bidi/>
        <w:ind w:firstLine="163"/>
        <w:jc w:val="both"/>
        <w:rPr>
          <w:rtl/>
        </w:rPr>
      </w:pPr>
      <w:r w:rsidRPr="007B4240">
        <w:rPr>
          <w:rFonts w:hint="cs"/>
          <w:rtl/>
        </w:rPr>
        <w:t xml:space="preserve">علمایی که ایشان نام برده اند عبارتند از: شیخ مفید، </w:t>
      </w:r>
      <w:r w:rsidRPr="007B4240">
        <w:rPr>
          <w:rtl/>
        </w:rPr>
        <w:t>ا</w:t>
      </w:r>
      <w:r w:rsidRPr="007B4240">
        <w:rPr>
          <w:rFonts w:hint="cs"/>
          <w:rtl/>
        </w:rPr>
        <w:t>بوالصلاح حلبی،</w:t>
      </w:r>
      <w:r w:rsidRPr="007B4240">
        <w:rPr>
          <w:rtl/>
        </w:rPr>
        <w:t xml:space="preserve"> ابوالفتوح </w:t>
      </w:r>
      <w:r w:rsidRPr="007B4240">
        <w:rPr>
          <w:rFonts w:hint="cs"/>
          <w:rtl/>
        </w:rPr>
        <w:t>ک</w:t>
      </w:r>
      <w:r w:rsidRPr="007B4240">
        <w:rPr>
          <w:rtl/>
        </w:rPr>
        <w:t>راجک</w:t>
      </w:r>
      <w:r w:rsidRPr="007B4240">
        <w:rPr>
          <w:rFonts w:hint="cs"/>
          <w:rtl/>
        </w:rPr>
        <w:t>ی،</w:t>
      </w:r>
      <w:r w:rsidRPr="007B4240">
        <w:rPr>
          <w:rtl/>
        </w:rPr>
        <w:t xml:space="preserve"> ش</w:t>
      </w:r>
      <w:r w:rsidRPr="007B4240">
        <w:rPr>
          <w:rFonts w:hint="cs"/>
          <w:rtl/>
        </w:rPr>
        <w:t>یخ</w:t>
      </w:r>
      <w:r w:rsidRPr="007B4240">
        <w:rPr>
          <w:rtl/>
        </w:rPr>
        <w:t xml:space="preserve"> عمادالد</w:t>
      </w:r>
      <w:r w:rsidRPr="007B4240">
        <w:rPr>
          <w:rFonts w:hint="cs"/>
          <w:rtl/>
        </w:rPr>
        <w:t>ین</w:t>
      </w:r>
      <w:r w:rsidRPr="007B4240">
        <w:rPr>
          <w:rtl/>
        </w:rPr>
        <w:t xml:space="preserve"> طبرس</w:t>
      </w:r>
      <w:r w:rsidRPr="007B4240">
        <w:rPr>
          <w:rFonts w:hint="cs"/>
          <w:rtl/>
        </w:rPr>
        <w:t>ی،</w:t>
      </w:r>
      <w:r w:rsidRPr="007B4240">
        <w:rPr>
          <w:rtl/>
        </w:rPr>
        <w:t xml:space="preserve"> </w:t>
      </w:r>
      <w:r w:rsidRPr="007B4240">
        <w:rPr>
          <w:rFonts w:hint="cs"/>
          <w:rtl/>
        </w:rPr>
        <w:t>ث</w:t>
      </w:r>
      <w:r w:rsidRPr="007B4240">
        <w:rPr>
          <w:rtl/>
        </w:rPr>
        <w:t>ق</w:t>
      </w:r>
      <w:r w:rsidRPr="007B4240">
        <w:rPr>
          <w:rFonts w:hint="cs"/>
          <w:rtl/>
        </w:rPr>
        <w:t>ة</w:t>
      </w:r>
      <w:r w:rsidRPr="007B4240">
        <w:rPr>
          <w:rtl/>
        </w:rPr>
        <w:t xml:space="preserve"> الاسلام کل</w:t>
      </w:r>
      <w:r w:rsidRPr="007B4240">
        <w:rPr>
          <w:rFonts w:hint="cs"/>
          <w:rtl/>
        </w:rPr>
        <w:t>ینی،</w:t>
      </w:r>
      <w:r w:rsidRPr="007B4240">
        <w:rPr>
          <w:rtl/>
        </w:rPr>
        <w:t xml:space="preserve"> ش</w:t>
      </w:r>
      <w:r w:rsidRPr="007B4240">
        <w:rPr>
          <w:rFonts w:hint="cs"/>
          <w:rtl/>
        </w:rPr>
        <w:t>یخ</w:t>
      </w:r>
      <w:r w:rsidRPr="007B4240">
        <w:rPr>
          <w:rtl/>
        </w:rPr>
        <w:t xml:space="preserve"> صدوق</w:t>
      </w:r>
      <w:r w:rsidRPr="007B4240">
        <w:rPr>
          <w:rFonts w:hint="cs"/>
          <w:rtl/>
        </w:rPr>
        <w:t>،</w:t>
      </w:r>
      <w:r w:rsidRPr="007B4240">
        <w:rPr>
          <w:rtl/>
        </w:rPr>
        <w:t xml:space="preserve"> ش</w:t>
      </w:r>
      <w:r w:rsidRPr="007B4240">
        <w:rPr>
          <w:rFonts w:hint="cs"/>
          <w:rtl/>
        </w:rPr>
        <w:t>یخ</w:t>
      </w:r>
      <w:r w:rsidRPr="007B4240">
        <w:rPr>
          <w:rtl/>
        </w:rPr>
        <w:t xml:space="preserve"> ز</w:t>
      </w:r>
      <w:r w:rsidRPr="007B4240">
        <w:rPr>
          <w:rFonts w:hint="cs"/>
          <w:rtl/>
        </w:rPr>
        <w:t>ین</w:t>
      </w:r>
      <w:r w:rsidRPr="007B4240">
        <w:rPr>
          <w:rtl/>
        </w:rPr>
        <w:t xml:space="preserve"> الد</w:t>
      </w:r>
      <w:r w:rsidRPr="007B4240">
        <w:rPr>
          <w:rFonts w:hint="cs"/>
          <w:rtl/>
        </w:rPr>
        <w:t>ین،</w:t>
      </w:r>
      <w:r w:rsidRPr="007B4240">
        <w:rPr>
          <w:rtl/>
        </w:rPr>
        <w:t xml:space="preserve"> س</w:t>
      </w:r>
      <w:r w:rsidRPr="007B4240">
        <w:rPr>
          <w:rFonts w:hint="cs"/>
          <w:rtl/>
        </w:rPr>
        <w:t>ید</w:t>
      </w:r>
      <w:r w:rsidRPr="007B4240">
        <w:rPr>
          <w:rtl/>
        </w:rPr>
        <w:t xml:space="preserve"> محمد صاحب مدارک</w:t>
      </w:r>
      <w:r w:rsidRPr="007B4240">
        <w:rPr>
          <w:rFonts w:hint="cs"/>
          <w:rtl/>
        </w:rPr>
        <w:t xml:space="preserve">، </w:t>
      </w:r>
      <w:r w:rsidRPr="007B4240">
        <w:rPr>
          <w:rtl/>
        </w:rPr>
        <w:t>ش</w:t>
      </w:r>
      <w:r w:rsidRPr="007B4240">
        <w:rPr>
          <w:rFonts w:hint="cs"/>
          <w:rtl/>
        </w:rPr>
        <w:t>یخ</w:t>
      </w:r>
      <w:r w:rsidRPr="007B4240">
        <w:rPr>
          <w:rtl/>
        </w:rPr>
        <w:t xml:space="preserve"> عب</w:t>
      </w:r>
      <w:r w:rsidRPr="007B4240">
        <w:rPr>
          <w:rFonts w:hint="cs"/>
          <w:rtl/>
        </w:rPr>
        <w:t>دالصمد</w:t>
      </w:r>
      <w:r w:rsidRPr="007B4240">
        <w:rPr>
          <w:rtl/>
        </w:rPr>
        <w:t xml:space="preserve"> والد</w:t>
      </w:r>
      <w:r w:rsidRPr="007B4240">
        <w:rPr>
          <w:rFonts w:hint="cs"/>
          <w:rtl/>
        </w:rPr>
        <w:t xml:space="preserve"> </w:t>
      </w:r>
      <w:r w:rsidRPr="007B4240">
        <w:rPr>
          <w:rtl/>
        </w:rPr>
        <w:t>ش</w:t>
      </w:r>
      <w:r w:rsidRPr="007B4240">
        <w:rPr>
          <w:rFonts w:hint="cs"/>
          <w:rtl/>
        </w:rPr>
        <w:t>یخ</w:t>
      </w:r>
      <w:r w:rsidRPr="007B4240">
        <w:rPr>
          <w:rtl/>
        </w:rPr>
        <w:t xml:space="preserve"> بها</w:t>
      </w:r>
      <w:r w:rsidRPr="007B4240">
        <w:rPr>
          <w:rFonts w:hint="cs"/>
          <w:rtl/>
        </w:rPr>
        <w:t>یی،</w:t>
      </w:r>
      <w:r w:rsidRPr="007B4240">
        <w:rPr>
          <w:rtl/>
        </w:rPr>
        <w:t xml:space="preserve"> ش</w:t>
      </w:r>
      <w:r w:rsidRPr="007B4240">
        <w:rPr>
          <w:rFonts w:hint="cs"/>
          <w:rtl/>
        </w:rPr>
        <w:t>یخ</w:t>
      </w:r>
      <w:r w:rsidRPr="007B4240">
        <w:rPr>
          <w:rtl/>
        </w:rPr>
        <w:t xml:space="preserve"> حسن ابن شه</w:t>
      </w:r>
      <w:r w:rsidRPr="007B4240">
        <w:rPr>
          <w:rFonts w:hint="cs"/>
          <w:rtl/>
        </w:rPr>
        <w:t>ید</w:t>
      </w:r>
      <w:r w:rsidRPr="007B4240">
        <w:rPr>
          <w:rtl/>
        </w:rPr>
        <w:t xml:space="preserve"> ثان</w:t>
      </w:r>
      <w:r w:rsidRPr="007B4240">
        <w:rPr>
          <w:rFonts w:hint="cs"/>
          <w:rtl/>
        </w:rPr>
        <w:t>ی</w:t>
      </w:r>
      <w:r w:rsidRPr="007B4240">
        <w:rPr>
          <w:rtl/>
        </w:rPr>
        <w:t xml:space="preserve"> صاحب عالم</w:t>
      </w:r>
      <w:r w:rsidRPr="007B4240">
        <w:rPr>
          <w:rFonts w:hint="cs"/>
          <w:rtl/>
        </w:rPr>
        <w:t>،</w:t>
      </w:r>
      <w:r w:rsidRPr="007B4240">
        <w:rPr>
          <w:rtl/>
        </w:rPr>
        <w:t xml:space="preserve"> ش</w:t>
      </w:r>
      <w:r w:rsidRPr="007B4240">
        <w:rPr>
          <w:rFonts w:hint="cs"/>
          <w:rtl/>
        </w:rPr>
        <w:t>یخ</w:t>
      </w:r>
      <w:r w:rsidRPr="007B4240">
        <w:rPr>
          <w:rtl/>
        </w:rPr>
        <w:t xml:space="preserve"> فخرالد</w:t>
      </w:r>
      <w:r w:rsidRPr="007B4240">
        <w:rPr>
          <w:rFonts w:hint="cs"/>
          <w:rtl/>
        </w:rPr>
        <w:t>ین</w:t>
      </w:r>
      <w:r w:rsidRPr="007B4240">
        <w:rPr>
          <w:rtl/>
        </w:rPr>
        <w:t xml:space="preserve"> طر</w:t>
      </w:r>
      <w:r w:rsidRPr="007B4240">
        <w:rPr>
          <w:rFonts w:hint="cs"/>
          <w:rtl/>
        </w:rPr>
        <w:t>یحی</w:t>
      </w:r>
      <w:r w:rsidRPr="007B4240">
        <w:rPr>
          <w:rtl/>
        </w:rPr>
        <w:t xml:space="preserve"> صاحب مج</w:t>
      </w:r>
      <w:r w:rsidRPr="007B4240">
        <w:rPr>
          <w:rFonts w:hint="cs"/>
          <w:rtl/>
        </w:rPr>
        <w:t>مع</w:t>
      </w:r>
      <w:r w:rsidRPr="007B4240">
        <w:rPr>
          <w:rtl/>
        </w:rPr>
        <w:t xml:space="preserve"> </w:t>
      </w:r>
      <w:r w:rsidRPr="007B4240">
        <w:rPr>
          <w:rFonts w:hint="cs"/>
          <w:rtl/>
        </w:rPr>
        <w:t>ال</w:t>
      </w:r>
      <w:r w:rsidRPr="007B4240">
        <w:rPr>
          <w:rtl/>
        </w:rPr>
        <w:t>بحر</w:t>
      </w:r>
      <w:r w:rsidRPr="007B4240">
        <w:rPr>
          <w:rFonts w:hint="cs"/>
          <w:rtl/>
        </w:rPr>
        <w:t>ین.</w:t>
      </w:r>
    </w:p>
    <w:p w14:paraId="434C708D" w14:textId="77777777" w:rsidR="00572DD8" w:rsidRPr="007B4240" w:rsidRDefault="00572DD8" w:rsidP="00572DD8">
      <w:pPr>
        <w:bidi/>
        <w:ind w:firstLine="163"/>
        <w:jc w:val="both"/>
        <w:rPr>
          <w:rtl/>
        </w:rPr>
      </w:pPr>
      <w:r w:rsidRPr="007B4240">
        <w:rPr>
          <w:rFonts w:hint="cs"/>
          <w:rtl/>
        </w:rPr>
        <w:lastRenderedPageBreak/>
        <w:t>همه این علماء طبق نقل صاحب حدائق و استظهاری که ایشان از کلمات اینان داشته اند قائل به وجوب تعیینی نماز جمعه هستند.</w:t>
      </w:r>
    </w:p>
    <w:p w14:paraId="6686A358" w14:textId="77777777" w:rsidR="00572DD8" w:rsidRPr="007B4240" w:rsidRDefault="00572DD8" w:rsidP="00572DD8">
      <w:pPr>
        <w:bidi/>
        <w:ind w:firstLine="163"/>
        <w:jc w:val="both"/>
        <w:rPr>
          <w:rtl/>
        </w:rPr>
      </w:pPr>
      <w:r w:rsidRPr="007B4240">
        <w:rPr>
          <w:rFonts w:hint="cs"/>
          <w:rtl/>
        </w:rPr>
        <w:t>عبارت شیخ عبدالصمد که ایشان در حدائق نقل کرده است این است:</w:t>
      </w:r>
    </w:p>
    <w:p w14:paraId="563543CE" w14:textId="77777777" w:rsidR="00572DD8" w:rsidRPr="00197449" w:rsidRDefault="00572DD8" w:rsidP="00572DD8">
      <w:pPr>
        <w:bidi/>
        <w:ind w:firstLine="163"/>
        <w:jc w:val="both"/>
        <w:rPr>
          <w:color w:val="000080"/>
          <w:rtl/>
        </w:rPr>
      </w:pPr>
      <w:r w:rsidRPr="00197449">
        <w:rPr>
          <w:rFonts w:hint="cs"/>
          <w:color w:val="000080"/>
          <w:rtl/>
        </w:rPr>
        <w:t>«و ليهيئ تاركها الجواب لله تعالى لو سأله يوم القيامة لم تركت صلاة الجمعة و قد أمرت بها في كتابي العزيز على أبلغ وجه»</w:t>
      </w:r>
      <w:r>
        <w:rPr>
          <w:rStyle w:val="a5"/>
          <w:color w:val="000080"/>
          <w:rtl/>
        </w:rPr>
        <w:footnoteReference w:id="3"/>
      </w:r>
    </w:p>
    <w:p w14:paraId="547711B2" w14:textId="77777777" w:rsidR="00572DD8" w:rsidRPr="007B4240" w:rsidRDefault="00572DD8" w:rsidP="00572DD8">
      <w:pPr>
        <w:bidi/>
        <w:ind w:firstLine="163"/>
        <w:jc w:val="both"/>
        <w:rPr>
          <w:rtl/>
        </w:rPr>
      </w:pPr>
      <w:r w:rsidRPr="007B4240">
        <w:rPr>
          <w:rFonts w:hint="cs"/>
          <w:rtl/>
        </w:rPr>
        <w:t>یعنی کسی که نماز جمعه را ترک کند باید آماده باشد که در روز قیامت مؤاخذه بشود که چرا نماز جمعه را ترک کردی؟!</w:t>
      </w:r>
    </w:p>
    <w:p w14:paraId="76EECE06" w14:textId="77777777" w:rsidR="00572DD8" w:rsidRPr="007B4240" w:rsidRDefault="00572DD8" w:rsidP="00572DD8">
      <w:pPr>
        <w:bidi/>
        <w:ind w:firstLine="163"/>
        <w:jc w:val="both"/>
        <w:rPr>
          <w:rtl/>
        </w:rPr>
      </w:pPr>
      <w:r w:rsidRPr="007B4240">
        <w:rPr>
          <w:rFonts w:hint="cs"/>
          <w:rtl/>
        </w:rPr>
        <w:t>ظاهر این عبارت این است که وجوب نماز جمعه، وجوب تعیینی است، وگرنه اگر وجوب تخییری باشد و طرف دیگر که نماز ظهر است را انجام داده باشد چرا باید مورد بازخواست قرار بگیرد؟</w:t>
      </w:r>
    </w:p>
    <w:p w14:paraId="4262BFC1" w14:textId="77777777" w:rsidR="00572DD8" w:rsidRPr="007B4240" w:rsidRDefault="00572DD8" w:rsidP="00572DD8">
      <w:pPr>
        <w:bidi/>
        <w:ind w:firstLine="163"/>
        <w:jc w:val="both"/>
        <w:rPr>
          <w:rtl/>
        </w:rPr>
      </w:pPr>
    </w:p>
    <w:p w14:paraId="61632774" w14:textId="77777777" w:rsidR="00572DD8" w:rsidRPr="00197449" w:rsidRDefault="00572DD8" w:rsidP="00572DD8">
      <w:pPr>
        <w:bidi/>
        <w:ind w:firstLine="163"/>
        <w:jc w:val="both"/>
        <w:rPr>
          <w:color w:val="FF0000"/>
          <w:rtl/>
        </w:rPr>
      </w:pPr>
      <w:r w:rsidRPr="00197449">
        <w:rPr>
          <w:rFonts w:hint="cs"/>
          <w:color w:val="FF0000"/>
          <w:rtl/>
        </w:rPr>
        <w:t>قائلین به وجوب تخییری</w:t>
      </w:r>
    </w:p>
    <w:p w14:paraId="33ED6CE6" w14:textId="77777777" w:rsidR="00572DD8" w:rsidRPr="007B4240" w:rsidRDefault="00572DD8" w:rsidP="00572DD8">
      <w:pPr>
        <w:bidi/>
        <w:ind w:firstLine="163"/>
        <w:jc w:val="both"/>
        <w:rPr>
          <w:rtl/>
        </w:rPr>
      </w:pPr>
      <w:r>
        <w:rPr>
          <w:rFonts w:hint="cs"/>
          <w:rtl/>
        </w:rPr>
        <w:t>بسیاری</w:t>
      </w:r>
      <w:r w:rsidRPr="007B4240">
        <w:rPr>
          <w:rFonts w:hint="cs"/>
          <w:rtl/>
        </w:rPr>
        <w:t xml:space="preserve"> از علماء وجوب تعیینی نماز جمعه را منکر هستند و قائل به وجوب تخییری آن شده اند.</w:t>
      </w:r>
    </w:p>
    <w:p w14:paraId="367792A4" w14:textId="77777777" w:rsidR="00572DD8" w:rsidRPr="007B4240" w:rsidRDefault="00572DD8" w:rsidP="00572DD8">
      <w:pPr>
        <w:bidi/>
        <w:ind w:firstLine="163"/>
        <w:jc w:val="both"/>
        <w:rPr>
          <w:rtl/>
        </w:rPr>
      </w:pPr>
      <w:r w:rsidRPr="007B4240">
        <w:rPr>
          <w:rFonts w:hint="cs"/>
          <w:rtl/>
        </w:rPr>
        <w:t>صاحب جواهر نام قائلین به این قول را ذکر کرده که یکی از آنها شیخ طوسی است.</w:t>
      </w:r>
    </w:p>
    <w:p w14:paraId="24416450" w14:textId="77777777" w:rsidR="00572DD8" w:rsidRPr="007B4240" w:rsidRDefault="00572DD8" w:rsidP="00572DD8">
      <w:pPr>
        <w:bidi/>
        <w:ind w:firstLine="163"/>
        <w:jc w:val="both"/>
        <w:rPr>
          <w:rtl/>
        </w:rPr>
      </w:pPr>
      <w:r w:rsidRPr="007B4240">
        <w:rPr>
          <w:rFonts w:hint="cs"/>
          <w:rtl/>
        </w:rPr>
        <w:t>عبارت شیخ طوسی که صاحب جواهر نقل کرده است این است:</w:t>
      </w:r>
    </w:p>
    <w:p w14:paraId="7BB21685" w14:textId="77777777" w:rsidR="00572DD8" w:rsidRPr="00197449" w:rsidRDefault="00572DD8" w:rsidP="00572DD8">
      <w:pPr>
        <w:bidi/>
        <w:ind w:firstLine="163"/>
        <w:jc w:val="both"/>
        <w:rPr>
          <w:color w:val="000080"/>
          <w:rtl/>
        </w:rPr>
      </w:pPr>
      <w:r w:rsidRPr="00197449">
        <w:rPr>
          <w:rFonts w:hint="cs"/>
          <w:color w:val="000080"/>
          <w:rtl/>
        </w:rPr>
        <w:t>«لا بأس أن يجتمع المؤمنون في زمان الغيبة».</w:t>
      </w:r>
      <w:r>
        <w:rPr>
          <w:rStyle w:val="a5"/>
          <w:color w:val="000080"/>
          <w:rtl/>
        </w:rPr>
        <w:footnoteReference w:id="4"/>
      </w:r>
    </w:p>
    <w:p w14:paraId="7A16D4C3" w14:textId="77777777" w:rsidR="00572DD8" w:rsidRPr="007B4240" w:rsidRDefault="00572DD8" w:rsidP="00572DD8">
      <w:pPr>
        <w:bidi/>
        <w:ind w:firstLine="163"/>
        <w:jc w:val="both"/>
        <w:rPr>
          <w:rtl/>
        </w:rPr>
      </w:pPr>
      <w:r w:rsidRPr="007B4240">
        <w:rPr>
          <w:rFonts w:hint="cs"/>
          <w:rtl/>
        </w:rPr>
        <w:t xml:space="preserve">تعبیر «لا بأس» در مقابل قول کسانی است که نماز جمعه را در عصر غیبت حرام می دانند، که ایشان با این کلامشان آن قول را رد می کنند. </w:t>
      </w:r>
    </w:p>
    <w:p w14:paraId="58ED44FC" w14:textId="77777777" w:rsidR="00572DD8" w:rsidRPr="007B4240" w:rsidRDefault="00572DD8" w:rsidP="00572DD8">
      <w:pPr>
        <w:bidi/>
        <w:ind w:firstLine="163"/>
        <w:jc w:val="both"/>
        <w:rPr>
          <w:rtl/>
        </w:rPr>
      </w:pPr>
      <w:r w:rsidRPr="007B4240">
        <w:rPr>
          <w:rFonts w:hint="cs"/>
          <w:rtl/>
        </w:rPr>
        <w:t xml:space="preserve">البته مراد از نفی بأس یا جواز، اباحه به معنای خاص یا استحباب مطلق نیست، بلکه مرادشان همان وجوب تخییری است. </w:t>
      </w:r>
    </w:p>
    <w:p w14:paraId="217C5309" w14:textId="77777777" w:rsidR="00572DD8" w:rsidRPr="007B4240" w:rsidRDefault="00572DD8" w:rsidP="00572DD8">
      <w:pPr>
        <w:bidi/>
        <w:ind w:firstLine="163"/>
        <w:jc w:val="both"/>
        <w:rPr>
          <w:rtl/>
        </w:rPr>
      </w:pPr>
      <w:r w:rsidRPr="007B4240">
        <w:rPr>
          <w:rFonts w:hint="cs"/>
          <w:rtl/>
        </w:rPr>
        <w:lastRenderedPageBreak/>
        <w:t>شیخ طوسی در باب امر به معروف نیز چنین فرموده است:</w:t>
      </w:r>
    </w:p>
    <w:p w14:paraId="398A51CB" w14:textId="77777777" w:rsidR="00572DD8" w:rsidRPr="00D81CD3" w:rsidRDefault="00572DD8" w:rsidP="00572DD8">
      <w:pPr>
        <w:bidi/>
        <w:ind w:firstLine="163"/>
        <w:jc w:val="both"/>
        <w:rPr>
          <w:color w:val="000080"/>
        </w:rPr>
      </w:pPr>
      <w:r w:rsidRPr="00D81CD3">
        <w:rPr>
          <w:rFonts w:hint="cs"/>
          <w:color w:val="000080"/>
          <w:rtl/>
        </w:rPr>
        <w:t>«و يجوز لفقهاء الحق أن يجمعوا بالناس الصلوات كلها و صلاة الجمعة و العيدين و يخطبون الخطبتين».</w:t>
      </w:r>
      <w:r w:rsidRPr="00D81CD3">
        <w:rPr>
          <w:rStyle w:val="a5"/>
          <w:color w:val="000080"/>
          <w:rtl/>
        </w:rPr>
        <w:footnoteReference w:id="5"/>
      </w:r>
    </w:p>
    <w:p w14:paraId="0A70A434" w14:textId="77777777" w:rsidR="00572DD8" w:rsidRPr="007B4240" w:rsidRDefault="00572DD8" w:rsidP="00572DD8">
      <w:pPr>
        <w:bidi/>
        <w:ind w:firstLine="163"/>
        <w:jc w:val="both"/>
        <w:rPr>
          <w:rtl/>
        </w:rPr>
      </w:pPr>
      <w:r w:rsidRPr="007B4240">
        <w:rPr>
          <w:rFonts w:hint="cs"/>
          <w:rtl/>
        </w:rPr>
        <w:t>صاحب جواهر پس از نقل کلام شیخ طوسی می فرماید:</w:t>
      </w:r>
    </w:p>
    <w:p w14:paraId="1E580EFF" w14:textId="77777777" w:rsidR="00572DD8" w:rsidRPr="00D81CD3" w:rsidRDefault="00572DD8" w:rsidP="00572DD8">
      <w:pPr>
        <w:bidi/>
        <w:ind w:firstLine="163"/>
        <w:jc w:val="both"/>
        <w:rPr>
          <w:color w:val="000080"/>
          <w:rtl/>
        </w:rPr>
      </w:pPr>
      <w:r w:rsidRPr="00D81CD3">
        <w:rPr>
          <w:rFonts w:hint="cs"/>
          <w:color w:val="000080"/>
          <w:rtl/>
        </w:rPr>
        <w:t>«و لا يخفى صراحة كلامه في نفي الوجوب العيني عقدا و ظهوره في نفيه اجتماعا بانتفاء الشرط المزبور، و أن جوازه في زمن الغيبة رخصة لا عزيمة لا في العقد و لا في الاجتماع بعد العقد، فان وجوبها عينا بالشرط المزبور له معنيان: الأول وجوب الحضور على كل مكلف إذا عقدها أحدهما أو علم أنه اجتمعت الشرائط عنده و أنه يعقدها كما دل عليه الكتاب و السنة و الإجماع إلا على من سقطت عنه بالنص و الإجماع، و الثاني وجوب عقدها عليهما عينا إذا اجتمعت سائر الشرائط».</w:t>
      </w:r>
      <w:r w:rsidRPr="00D81CD3">
        <w:rPr>
          <w:rStyle w:val="a5"/>
          <w:color w:val="000080"/>
          <w:rtl/>
        </w:rPr>
        <w:footnoteReference w:id="6"/>
      </w:r>
    </w:p>
    <w:p w14:paraId="334417A4" w14:textId="77777777" w:rsidR="00572DD8" w:rsidRPr="007B4240" w:rsidRDefault="00572DD8" w:rsidP="00572DD8">
      <w:pPr>
        <w:bidi/>
        <w:ind w:firstLine="163"/>
        <w:jc w:val="both"/>
        <w:rPr>
          <w:rFonts w:hint="cs"/>
          <w:rtl/>
        </w:rPr>
      </w:pPr>
      <w:r w:rsidRPr="007B4240">
        <w:rPr>
          <w:rFonts w:hint="cs"/>
          <w:rtl/>
        </w:rPr>
        <w:t xml:space="preserve">مراد از «عقد»، اصل تشکیل و برپایی نماز جمعه، و مراد از «اجتماع»، حضور پیدا کردن در نماز جمعه است. که به نظر ایشان هیچکدام از این دو در عصر غیبت وجوب ندارد. </w:t>
      </w:r>
    </w:p>
    <w:p w14:paraId="564BC199" w14:textId="77777777" w:rsidR="00572DD8" w:rsidRPr="007B4240" w:rsidRDefault="00572DD8" w:rsidP="00572DD8">
      <w:pPr>
        <w:bidi/>
        <w:ind w:firstLine="163"/>
        <w:jc w:val="both"/>
        <w:rPr>
          <w:rFonts w:hint="cs"/>
          <w:rtl/>
        </w:rPr>
      </w:pPr>
      <w:r w:rsidRPr="007B4240">
        <w:rPr>
          <w:rFonts w:hint="cs"/>
          <w:rtl/>
        </w:rPr>
        <w:t xml:space="preserve">مراد از «عقدها أحدهما» یعنی اگر امام معصوم علیه السلام یا نائب او نماز جمعه را برگزار کردند، حضور در آن واجب می شود. </w:t>
      </w:r>
    </w:p>
    <w:p w14:paraId="334EEE50" w14:textId="77777777" w:rsidR="00572DD8" w:rsidRPr="007B4240" w:rsidRDefault="00572DD8" w:rsidP="00572DD8">
      <w:pPr>
        <w:bidi/>
        <w:ind w:firstLine="163"/>
        <w:jc w:val="both"/>
        <w:rPr>
          <w:rFonts w:hint="cs"/>
          <w:rtl/>
        </w:rPr>
      </w:pPr>
      <w:r w:rsidRPr="007B4240">
        <w:rPr>
          <w:rFonts w:hint="cs"/>
          <w:rtl/>
        </w:rPr>
        <w:t xml:space="preserve">تعبیر «سقطت عنه بالنص و الإجماع» اشاره به مستثنیات وجوب نماز جمعه دارد که این نماز بر چند گروه مانند زنان و پیرمردها و ... واجب نیست. </w:t>
      </w:r>
    </w:p>
    <w:p w14:paraId="761943D5" w14:textId="77777777" w:rsidR="00572DD8" w:rsidRPr="007B4240" w:rsidRDefault="00572DD8" w:rsidP="00572DD8">
      <w:pPr>
        <w:bidi/>
        <w:ind w:firstLine="163"/>
        <w:jc w:val="both"/>
        <w:rPr>
          <w:rFonts w:hint="cs"/>
          <w:rtl/>
        </w:rPr>
      </w:pPr>
      <w:r w:rsidRPr="007B4240">
        <w:rPr>
          <w:rFonts w:hint="cs"/>
          <w:rtl/>
        </w:rPr>
        <w:t>صاحب جواهر پس از آنکه کلام شیخ طوسی را نقل کرد و توضیح داد، در پایان می فرماید:</w:t>
      </w:r>
    </w:p>
    <w:p w14:paraId="424C3B3D" w14:textId="77777777" w:rsidR="00572DD8" w:rsidRPr="00D81CD3" w:rsidRDefault="00572DD8" w:rsidP="00572DD8">
      <w:pPr>
        <w:bidi/>
        <w:ind w:firstLine="163"/>
        <w:jc w:val="both"/>
        <w:rPr>
          <w:rFonts w:hint="cs"/>
          <w:color w:val="000080"/>
          <w:rtl/>
        </w:rPr>
      </w:pPr>
      <w:r w:rsidRPr="00D81CD3">
        <w:rPr>
          <w:rFonts w:hint="cs"/>
          <w:color w:val="000080"/>
          <w:rtl/>
        </w:rPr>
        <w:t>«و كيف كان فمن الغريب دعوى بعض المتفقهة أن الشيخ ممن يقول بوجوبها عينا مدعيا عليه الإجماع».</w:t>
      </w:r>
      <w:r w:rsidRPr="00D81CD3">
        <w:rPr>
          <w:rStyle w:val="a5"/>
          <w:color w:val="000080"/>
          <w:rtl/>
        </w:rPr>
        <w:footnoteReference w:id="7"/>
      </w:r>
    </w:p>
    <w:p w14:paraId="01896C8E" w14:textId="77777777" w:rsidR="00572DD8" w:rsidRPr="007B4240" w:rsidRDefault="00572DD8" w:rsidP="00572DD8">
      <w:pPr>
        <w:bidi/>
        <w:ind w:firstLine="163"/>
        <w:jc w:val="both"/>
        <w:rPr>
          <w:rFonts w:hint="cs"/>
          <w:rtl/>
        </w:rPr>
      </w:pPr>
      <w:r w:rsidRPr="007B4240">
        <w:rPr>
          <w:rFonts w:hint="cs"/>
          <w:rtl/>
        </w:rPr>
        <w:t xml:space="preserve">ایشان فرموده است که برخی از کسانی که خود را فقیه می پندازند! گمان کرده اند که شیخ قائل به وجوب تعیینی نماز جمعه است و نقل اجماع هم کرده است، و حال آنکه قضیه برعکس است، یعنی ایشان وجوب تعیینی را نفی کرده است. </w:t>
      </w:r>
    </w:p>
    <w:p w14:paraId="10162B73" w14:textId="77777777" w:rsidR="00572DD8" w:rsidRPr="007B4240" w:rsidRDefault="00572DD8" w:rsidP="00572DD8">
      <w:pPr>
        <w:bidi/>
        <w:ind w:firstLine="163"/>
        <w:jc w:val="both"/>
        <w:rPr>
          <w:rFonts w:hint="cs"/>
          <w:rtl/>
        </w:rPr>
      </w:pPr>
      <w:r w:rsidRPr="007B4240">
        <w:rPr>
          <w:rFonts w:hint="cs"/>
          <w:rtl/>
        </w:rPr>
        <w:lastRenderedPageBreak/>
        <w:t xml:space="preserve">سپس از علامه در تذکره نقل می کند که مشهور علماء وجوب تعیینی نماز جمعه در عصر غیبت را انکار کرده و قائل به وجوب تخییری هستند. </w:t>
      </w:r>
    </w:p>
    <w:p w14:paraId="3D8DA688" w14:textId="77777777" w:rsidR="00572DD8" w:rsidRPr="007B4240" w:rsidRDefault="00572DD8" w:rsidP="00572DD8">
      <w:pPr>
        <w:bidi/>
        <w:ind w:firstLine="163"/>
        <w:jc w:val="both"/>
        <w:rPr>
          <w:rFonts w:hint="cs"/>
          <w:rtl/>
        </w:rPr>
      </w:pPr>
      <w:r w:rsidRPr="007B4240">
        <w:rPr>
          <w:rFonts w:hint="cs"/>
          <w:rtl/>
        </w:rPr>
        <w:t>عبارتی که صاحب جواهر از تذکره نقل می کند این است:</w:t>
      </w:r>
    </w:p>
    <w:p w14:paraId="7E3A86E2" w14:textId="77777777" w:rsidR="00572DD8" w:rsidRPr="00691E49" w:rsidRDefault="00572DD8" w:rsidP="00572DD8">
      <w:pPr>
        <w:bidi/>
        <w:ind w:firstLine="163"/>
        <w:jc w:val="both"/>
        <w:rPr>
          <w:rFonts w:hint="cs"/>
          <w:color w:val="000080"/>
          <w:rtl/>
        </w:rPr>
      </w:pPr>
      <w:r w:rsidRPr="00691E49">
        <w:rPr>
          <w:rFonts w:hint="cs"/>
          <w:color w:val="000080"/>
          <w:rtl/>
        </w:rPr>
        <w:t xml:space="preserve">«و في التذكرة يشترط في وجوب الجمعة السلطان أو نائبه عند علمائنا أجمع، للإجماع على أن النبي (صلى الله عليه و آله) كان إلى قوله في المعتبر كذا إمامة الجمعة، و قال أيضا فيها بعد ذلك بمسافة: "و </w:t>
      </w:r>
      <w:bookmarkStart w:id="0" w:name="_Hlk178777479"/>
      <w:r w:rsidRPr="00691E49">
        <w:rPr>
          <w:rFonts w:hint="cs"/>
          <w:color w:val="000080"/>
          <w:rtl/>
        </w:rPr>
        <w:t xml:space="preserve">هل للفقهاء المؤمنين حال الغيبة و التمكن من الاجتماع و الخطبتين صلاة الجمعة؟ </w:t>
      </w:r>
      <w:bookmarkEnd w:id="0"/>
      <w:r w:rsidRPr="00691E49">
        <w:rPr>
          <w:rFonts w:hint="cs"/>
          <w:color w:val="000080"/>
          <w:rtl/>
        </w:rPr>
        <w:t xml:space="preserve">أطبق علماؤنا على عدم الوجوب، </w:t>
      </w:r>
      <w:bookmarkStart w:id="1" w:name="_Hlk178777627"/>
      <w:r w:rsidRPr="00691E49">
        <w:rPr>
          <w:rFonts w:hint="cs"/>
          <w:color w:val="000080"/>
          <w:rtl/>
        </w:rPr>
        <w:t xml:space="preserve">و اختلفوا في استحباب إقامتها </w:t>
      </w:r>
      <w:bookmarkEnd w:id="1"/>
      <w:r w:rsidRPr="00691E49">
        <w:rPr>
          <w:rFonts w:hint="cs"/>
          <w:color w:val="000080"/>
          <w:rtl/>
        </w:rPr>
        <w:t>فالمشهور ذلك، و قال ابن إدريس و سلار: لا يجوز"».</w:t>
      </w:r>
      <w:r w:rsidRPr="00691E49">
        <w:rPr>
          <w:rStyle w:val="a5"/>
          <w:color w:val="000080"/>
          <w:rtl/>
        </w:rPr>
        <w:footnoteReference w:id="8"/>
      </w:r>
    </w:p>
    <w:p w14:paraId="26557BAC" w14:textId="77777777" w:rsidR="00572DD8" w:rsidRPr="007B4240" w:rsidRDefault="00572DD8" w:rsidP="00572DD8">
      <w:pPr>
        <w:bidi/>
        <w:ind w:firstLine="163"/>
        <w:jc w:val="both"/>
        <w:rPr>
          <w:rFonts w:hint="cs"/>
          <w:rtl/>
        </w:rPr>
      </w:pPr>
      <w:r w:rsidRPr="007B4240">
        <w:rPr>
          <w:rFonts w:hint="cs"/>
          <w:rtl/>
        </w:rPr>
        <w:t xml:space="preserve">آنچه که علامه به علماء نسبت داده است این است که همه قائل به عدم وجوب تعیینی هستند، ولی در اینکه آیا مستحب است یا خیر اختلاف دارند. </w:t>
      </w:r>
    </w:p>
    <w:p w14:paraId="38763ACB" w14:textId="77777777" w:rsidR="00572DD8" w:rsidRPr="007B4240" w:rsidRDefault="00572DD8" w:rsidP="00572DD8">
      <w:pPr>
        <w:bidi/>
        <w:ind w:firstLine="163"/>
        <w:jc w:val="both"/>
        <w:rPr>
          <w:rFonts w:hint="cs"/>
          <w:rtl/>
        </w:rPr>
      </w:pPr>
      <w:r w:rsidRPr="007B4240">
        <w:rPr>
          <w:rFonts w:hint="cs"/>
          <w:rtl/>
        </w:rPr>
        <w:t xml:space="preserve">همانطور که قبلا هم بیان کردیم این استحباب و افضلیت به این معناست که حالا که نماز ظهر و جمعه واجب تخییری هستند و مکلف می تواند هرکدام را بجا بیاورد، آیا نماز جمعه افضل از نماز ظهر است یا خیر؟ </w:t>
      </w:r>
    </w:p>
    <w:p w14:paraId="2ABA5843" w14:textId="77777777" w:rsidR="00572DD8" w:rsidRPr="007B4240" w:rsidRDefault="00572DD8" w:rsidP="00572DD8">
      <w:pPr>
        <w:bidi/>
        <w:ind w:firstLine="163"/>
        <w:jc w:val="both"/>
        <w:rPr>
          <w:rFonts w:hint="cs"/>
          <w:rtl/>
        </w:rPr>
      </w:pPr>
      <w:r w:rsidRPr="007B4240">
        <w:rPr>
          <w:rFonts w:hint="cs"/>
          <w:rtl/>
        </w:rPr>
        <w:t>علامه می فرماید که مشهور قائل به افضل بودن نماز جمعه نسبت به نماز ظهر هستند.</w:t>
      </w:r>
    </w:p>
    <w:p w14:paraId="49D8C600" w14:textId="77777777" w:rsidR="00572DD8" w:rsidRPr="007B4240" w:rsidRDefault="00572DD8" w:rsidP="00572DD8">
      <w:pPr>
        <w:bidi/>
        <w:ind w:firstLine="163"/>
        <w:jc w:val="both"/>
        <w:rPr>
          <w:rtl/>
        </w:rPr>
      </w:pPr>
      <w:r w:rsidRPr="007B4240">
        <w:rPr>
          <w:rFonts w:hint="cs"/>
          <w:rtl/>
        </w:rPr>
        <w:t>صاحب جواهر در ادامه، کلام شهید در ذکری را نقل کرده و می فرماید:</w:t>
      </w:r>
    </w:p>
    <w:p w14:paraId="1C30C8AA" w14:textId="77777777" w:rsidR="00572DD8" w:rsidRPr="00691E49" w:rsidRDefault="00572DD8" w:rsidP="00572DD8">
      <w:pPr>
        <w:bidi/>
        <w:ind w:firstLine="163"/>
        <w:jc w:val="both"/>
        <w:rPr>
          <w:rFonts w:hint="cs"/>
          <w:color w:val="000080"/>
          <w:rtl/>
        </w:rPr>
      </w:pPr>
      <w:bookmarkStart w:id="2" w:name="_Hlk178778083"/>
      <w:r w:rsidRPr="00691E49">
        <w:rPr>
          <w:rFonts w:hint="cs"/>
          <w:color w:val="000080"/>
          <w:rtl/>
        </w:rPr>
        <w:t xml:space="preserve">«و أما مع غيبته كهذا الزمان ففي انعقادها قولان- ثم قال-: إن عمل الطائفة على عدم الوجوب العيني </w:t>
      </w:r>
      <w:bookmarkEnd w:id="2"/>
      <w:r w:rsidRPr="00691E49">
        <w:rPr>
          <w:rFonts w:hint="cs"/>
          <w:color w:val="000080"/>
          <w:rtl/>
        </w:rPr>
        <w:t>في سائر الأعصار و الأمصار»</w:t>
      </w:r>
      <w:r w:rsidRPr="00691E49">
        <w:rPr>
          <w:rStyle w:val="a5"/>
          <w:color w:val="000080"/>
          <w:rtl/>
        </w:rPr>
        <w:footnoteReference w:id="9"/>
      </w:r>
    </w:p>
    <w:p w14:paraId="168EF35C" w14:textId="77777777" w:rsidR="00572DD8" w:rsidRPr="007B4240" w:rsidRDefault="00572DD8" w:rsidP="00572DD8">
      <w:pPr>
        <w:bidi/>
        <w:ind w:firstLine="163"/>
        <w:jc w:val="both"/>
        <w:rPr>
          <w:rFonts w:hint="cs"/>
          <w:rtl/>
        </w:rPr>
      </w:pPr>
      <w:r w:rsidRPr="007B4240">
        <w:rPr>
          <w:rFonts w:hint="cs"/>
          <w:rtl/>
        </w:rPr>
        <w:t xml:space="preserve">صاحب جواهر از ذکری نقل کرده که در مورد نماز جمعه در عصر غیبت دو قول وجود دارد، و آنچه که علمای طائفه امامیه بیان کرده اند قول به عدم وجوب تعیینی است. </w:t>
      </w:r>
    </w:p>
    <w:p w14:paraId="051ABC7C" w14:textId="77777777" w:rsidR="00572DD8" w:rsidRPr="007B4240" w:rsidRDefault="00572DD8" w:rsidP="00572DD8">
      <w:pPr>
        <w:bidi/>
        <w:ind w:firstLine="163"/>
        <w:jc w:val="both"/>
        <w:rPr>
          <w:rFonts w:hint="cs"/>
          <w:rtl/>
        </w:rPr>
      </w:pPr>
      <w:r w:rsidRPr="007B4240">
        <w:rPr>
          <w:rFonts w:hint="cs"/>
          <w:rtl/>
        </w:rPr>
        <w:lastRenderedPageBreak/>
        <w:t>سپس صاحب جواهر می فرماید: عبارت محقق کرکی، صریح تر از عبارت دیگران است که ایشان نیز قول به عدم وجوب تعیینی را به اصحاب نسبت داده است.</w:t>
      </w:r>
    </w:p>
    <w:p w14:paraId="6DBD8D07" w14:textId="77777777" w:rsidR="00572DD8" w:rsidRPr="007B4240" w:rsidRDefault="00572DD8" w:rsidP="00572DD8">
      <w:pPr>
        <w:bidi/>
        <w:ind w:firstLine="163"/>
        <w:jc w:val="both"/>
        <w:rPr>
          <w:rtl/>
        </w:rPr>
      </w:pPr>
      <w:r w:rsidRPr="007B4240">
        <w:rPr>
          <w:rFonts w:hint="cs"/>
          <w:rtl/>
        </w:rPr>
        <w:t xml:space="preserve">جواهر، کلام محقق کرکی را اینگونه نقل کرده است: </w:t>
      </w:r>
    </w:p>
    <w:p w14:paraId="1BD83749" w14:textId="77777777" w:rsidR="00572DD8" w:rsidRPr="00691E49" w:rsidRDefault="00572DD8" w:rsidP="00572DD8">
      <w:pPr>
        <w:bidi/>
        <w:ind w:firstLine="163"/>
        <w:jc w:val="both"/>
        <w:rPr>
          <w:color w:val="000080"/>
          <w:rtl/>
        </w:rPr>
      </w:pPr>
      <w:r w:rsidRPr="00691E49">
        <w:rPr>
          <w:rFonts w:hint="cs"/>
          <w:color w:val="000080"/>
          <w:rtl/>
        </w:rPr>
        <w:t>«</w:t>
      </w:r>
      <w:bookmarkStart w:id="3" w:name="_Hlk178778450"/>
      <w:r w:rsidRPr="00691E49">
        <w:rPr>
          <w:rFonts w:hint="cs"/>
          <w:color w:val="000080"/>
          <w:rtl/>
        </w:rPr>
        <w:t>أجمع علماؤنا الإمامية طبقة بعد طبقة من عصر أئمتنا إلى عصرنا هذا على انتفاء الوجوب العيني في زمان الغيبة</w:t>
      </w:r>
      <w:bookmarkEnd w:id="3"/>
      <w:r w:rsidRPr="00691E49">
        <w:rPr>
          <w:rFonts w:hint="cs"/>
          <w:color w:val="000080"/>
          <w:rtl/>
        </w:rPr>
        <w:t>»</w:t>
      </w:r>
      <w:r w:rsidRPr="00691E49">
        <w:rPr>
          <w:rStyle w:val="a5"/>
          <w:color w:val="000080"/>
          <w:rtl/>
        </w:rPr>
        <w:footnoteReference w:id="10"/>
      </w:r>
    </w:p>
    <w:p w14:paraId="50CDBB05" w14:textId="77777777" w:rsidR="00572DD8" w:rsidRPr="007B4240" w:rsidRDefault="00572DD8" w:rsidP="00572DD8">
      <w:pPr>
        <w:bidi/>
        <w:ind w:firstLine="163"/>
        <w:jc w:val="both"/>
        <w:rPr>
          <w:rFonts w:hint="cs"/>
          <w:rtl/>
        </w:rPr>
      </w:pPr>
      <w:r w:rsidRPr="007B4240">
        <w:rPr>
          <w:rFonts w:hint="cs"/>
          <w:rtl/>
        </w:rPr>
        <w:t xml:space="preserve">جواهر در ادامه، همین مطلب را از شهید و همچنین از جواد کاظمی که </w:t>
      </w:r>
      <w:r w:rsidRPr="007B4240">
        <w:rPr>
          <w:rtl/>
        </w:rPr>
        <w:t>از فقها</w:t>
      </w:r>
      <w:r w:rsidRPr="007B4240">
        <w:rPr>
          <w:rFonts w:hint="cs"/>
          <w:rtl/>
        </w:rPr>
        <w:t>ی</w:t>
      </w:r>
      <w:r w:rsidRPr="007B4240">
        <w:rPr>
          <w:rtl/>
        </w:rPr>
        <w:t xml:space="preserve"> بزرگ بوده و صاحب آ</w:t>
      </w:r>
      <w:r w:rsidRPr="007B4240">
        <w:rPr>
          <w:rFonts w:hint="cs"/>
          <w:rtl/>
        </w:rPr>
        <w:t>یت</w:t>
      </w:r>
      <w:r w:rsidRPr="007B4240">
        <w:rPr>
          <w:rtl/>
        </w:rPr>
        <w:t xml:space="preserve"> الاحکام </w:t>
      </w:r>
      <w:r w:rsidRPr="007B4240">
        <w:rPr>
          <w:rFonts w:hint="cs"/>
          <w:rtl/>
        </w:rPr>
        <w:t>ا</w:t>
      </w:r>
      <w:r w:rsidRPr="007B4240">
        <w:rPr>
          <w:rtl/>
        </w:rPr>
        <w:t>ست</w:t>
      </w:r>
      <w:r w:rsidRPr="007B4240">
        <w:rPr>
          <w:rFonts w:hint="cs"/>
          <w:rtl/>
        </w:rPr>
        <w:t xml:space="preserve">، و نیز از محقق داماد و دیگران نقل می کند که اینها نیز تصریح به عدم وجوب تعیینی کرده اند. </w:t>
      </w:r>
    </w:p>
    <w:p w14:paraId="7F8C7DF0" w14:textId="77777777" w:rsidR="00572DD8" w:rsidRPr="007B4240" w:rsidRDefault="00572DD8" w:rsidP="00572DD8">
      <w:pPr>
        <w:bidi/>
        <w:ind w:firstLine="163"/>
        <w:jc w:val="both"/>
        <w:rPr>
          <w:rFonts w:hint="cs"/>
          <w:rtl/>
        </w:rPr>
      </w:pPr>
      <w:r w:rsidRPr="007B4240">
        <w:rPr>
          <w:rFonts w:hint="cs"/>
          <w:rtl/>
        </w:rPr>
        <w:t>صاحب جواهر، کلام شیخ در خلاف را نیز نقل کرده و عین عبارت ایشان را آورده است که به این شرح است:</w:t>
      </w:r>
    </w:p>
    <w:p w14:paraId="4BC85932" w14:textId="77777777" w:rsidR="00572DD8" w:rsidRPr="00691E49" w:rsidRDefault="00572DD8" w:rsidP="00572DD8">
      <w:pPr>
        <w:bidi/>
        <w:ind w:firstLine="163"/>
        <w:jc w:val="both"/>
        <w:rPr>
          <w:color w:val="000080"/>
          <w:rtl/>
        </w:rPr>
      </w:pPr>
      <w:r w:rsidRPr="00691E49">
        <w:rPr>
          <w:rFonts w:hint="cs"/>
          <w:color w:val="000080"/>
          <w:rtl/>
        </w:rPr>
        <w:t>«</w:t>
      </w:r>
      <w:bookmarkStart w:id="4" w:name="_Hlk178778716"/>
      <w:r w:rsidRPr="00691E49">
        <w:rPr>
          <w:rFonts w:hint="cs"/>
          <w:color w:val="000080"/>
          <w:rtl/>
        </w:rPr>
        <w:t xml:space="preserve">من شرط انعقاد الجمعة الإمام أو من يأمره الإمام بذلك من قاض أو أمير و نحو ذلك، </w:t>
      </w:r>
      <w:bookmarkEnd w:id="4"/>
      <w:r w:rsidRPr="00691E49">
        <w:rPr>
          <w:rFonts w:hint="cs"/>
          <w:color w:val="000080"/>
          <w:rtl/>
        </w:rPr>
        <w:t xml:space="preserve">و متى أقيمت بغير أمره لم تصح- إلى أن قال-: فان قيل: أ ليس قد رويتم فيما مضى من كتبكم أنه يجوز لأهل القرايا و السواد و المؤمنين إذا اجتمعوا العدد الذين تنعقد بهم أن يصلوا الجمعة </w:t>
      </w:r>
      <w:bookmarkStart w:id="5" w:name="_Hlk178778740"/>
      <w:r w:rsidRPr="00691E49">
        <w:rPr>
          <w:rFonts w:hint="cs"/>
          <w:color w:val="000080"/>
          <w:rtl/>
        </w:rPr>
        <w:t>قلنا: ذلك مأذون فيه مرغب فيه</w:t>
      </w:r>
      <w:bookmarkEnd w:id="5"/>
      <w:r w:rsidRPr="00691E49">
        <w:rPr>
          <w:rFonts w:hint="cs"/>
          <w:color w:val="000080"/>
          <w:rtl/>
        </w:rPr>
        <w:t>، فجرى ذلك مجرى أن ينصب الامام من يصلي بهم، و أيضا عليه إجماع الفرقة».</w:t>
      </w:r>
      <w:r w:rsidRPr="00691E49">
        <w:rPr>
          <w:rStyle w:val="a5"/>
          <w:color w:val="000080"/>
          <w:rtl/>
        </w:rPr>
        <w:footnoteReference w:id="11"/>
      </w:r>
    </w:p>
    <w:p w14:paraId="6012BA7D" w14:textId="77777777" w:rsidR="00572DD8" w:rsidRPr="007B4240" w:rsidRDefault="00572DD8" w:rsidP="00572DD8">
      <w:pPr>
        <w:bidi/>
        <w:ind w:firstLine="163"/>
        <w:jc w:val="both"/>
        <w:rPr>
          <w:rtl/>
        </w:rPr>
      </w:pPr>
      <w:r w:rsidRPr="007B4240">
        <w:rPr>
          <w:rFonts w:hint="cs"/>
          <w:rtl/>
        </w:rPr>
        <w:t xml:space="preserve">و سپس خود جواهر در توضیح این کلام فرموده است: </w:t>
      </w:r>
    </w:p>
    <w:p w14:paraId="498939C2" w14:textId="77777777" w:rsidR="00572DD8" w:rsidRPr="00691E49" w:rsidRDefault="00572DD8" w:rsidP="00572DD8">
      <w:pPr>
        <w:bidi/>
        <w:ind w:firstLine="163"/>
        <w:jc w:val="both"/>
        <w:rPr>
          <w:color w:val="000080"/>
        </w:rPr>
      </w:pPr>
      <w:r w:rsidRPr="00691E49">
        <w:rPr>
          <w:rFonts w:hint="cs"/>
          <w:color w:val="000080"/>
          <w:rtl/>
        </w:rPr>
        <w:t>«و هي كما ترى صريحة في نفي العينية بدونهما».</w:t>
      </w:r>
      <w:r w:rsidRPr="00691E49">
        <w:rPr>
          <w:rStyle w:val="a5"/>
          <w:color w:val="000080"/>
          <w:rtl/>
        </w:rPr>
        <w:footnoteReference w:id="12"/>
      </w:r>
    </w:p>
    <w:p w14:paraId="307993FB" w14:textId="77777777" w:rsidR="00572DD8" w:rsidRPr="007B4240" w:rsidRDefault="00572DD8" w:rsidP="00572DD8">
      <w:pPr>
        <w:bidi/>
        <w:ind w:firstLine="163"/>
        <w:jc w:val="both"/>
        <w:rPr>
          <w:rFonts w:hint="cs"/>
          <w:rtl/>
        </w:rPr>
      </w:pPr>
      <w:r w:rsidRPr="007B4240">
        <w:rPr>
          <w:rFonts w:hint="cs"/>
          <w:rtl/>
        </w:rPr>
        <w:t>سپس کلام دیگری از شیخ در خلاف را نقل کرده و آن این است:</w:t>
      </w:r>
    </w:p>
    <w:p w14:paraId="432EC91E" w14:textId="77777777" w:rsidR="00572DD8" w:rsidRPr="00691E49" w:rsidRDefault="00572DD8" w:rsidP="00572DD8">
      <w:pPr>
        <w:bidi/>
        <w:ind w:firstLine="163"/>
        <w:jc w:val="both"/>
        <w:rPr>
          <w:rFonts w:hint="cs"/>
          <w:color w:val="000080"/>
          <w:rtl/>
        </w:rPr>
      </w:pPr>
      <w:r w:rsidRPr="00691E49">
        <w:rPr>
          <w:rFonts w:hint="cs"/>
          <w:color w:val="000080"/>
          <w:rtl/>
        </w:rPr>
        <w:t>«</w:t>
      </w:r>
      <w:bookmarkStart w:id="6" w:name="_Hlk178779134"/>
      <w:r w:rsidRPr="00691E49">
        <w:rPr>
          <w:rFonts w:hint="cs"/>
          <w:color w:val="000080"/>
          <w:rtl/>
        </w:rPr>
        <w:t xml:space="preserve">و لا بأس أن يجتمع المؤمنون في زمان الغيبة </w:t>
      </w:r>
      <w:bookmarkEnd w:id="6"/>
      <w:r w:rsidRPr="00691E49">
        <w:rPr>
          <w:rFonts w:hint="cs"/>
          <w:color w:val="000080"/>
          <w:rtl/>
        </w:rPr>
        <w:t>بحيث لا ضرر عليهم فيصلون بخطبتين، فان لم يتمكنوا من الخطبة صلوا جماعة ظهرا أربع ركعات»‌</w:t>
      </w:r>
      <w:r w:rsidRPr="00691E49">
        <w:rPr>
          <w:rStyle w:val="a5"/>
          <w:color w:val="000080"/>
          <w:rtl/>
        </w:rPr>
        <w:footnoteReference w:id="13"/>
      </w:r>
    </w:p>
    <w:p w14:paraId="74E661EE" w14:textId="77777777" w:rsidR="00572DD8" w:rsidRPr="007B4240" w:rsidRDefault="00572DD8" w:rsidP="00572DD8">
      <w:pPr>
        <w:bidi/>
        <w:ind w:firstLine="163"/>
        <w:jc w:val="both"/>
        <w:rPr>
          <w:rtl/>
        </w:rPr>
      </w:pPr>
      <w:r w:rsidRPr="007B4240">
        <w:rPr>
          <w:rFonts w:hint="cs"/>
          <w:rtl/>
        </w:rPr>
        <w:lastRenderedPageBreak/>
        <w:t xml:space="preserve">و همچنین کلام ایشان در نهایه را نیز نقل کرده که به این شرح است: </w:t>
      </w:r>
    </w:p>
    <w:p w14:paraId="4547E617" w14:textId="77777777" w:rsidR="00572DD8" w:rsidRPr="00691E49" w:rsidRDefault="00572DD8" w:rsidP="00572DD8">
      <w:pPr>
        <w:bidi/>
        <w:ind w:firstLine="163"/>
        <w:jc w:val="both"/>
        <w:rPr>
          <w:color w:val="000080"/>
          <w:rtl/>
        </w:rPr>
      </w:pPr>
      <w:r w:rsidRPr="00691E49">
        <w:rPr>
          <w:rFonts w:hint="cs"/>
          <w:color w:val="000080"/>
          <w:rtl/>
        </w:rPr>
        <w:t>«</w:t>
      </w:r>
      <w:bookmarkStart w:id="7" w:name="_Hlk178779359"/>
      <w:r w:rsidRPr="00691E49">
        <w:rPr>
          <w:rFonts w:hint="cs"/>
          <w:color w:val="000080"/>
          <w:rtl/>
        </w:rPr>
        <w:t>و يجوز لفقهاء الحق أن يجمعوا بالناس الصلوات كلها و صلاة الجمعة و العيدين و يخطبون الخطبتين، و يصلون بهم صلاة الكسوف ما لم يخافوا».</w:t>
      </w:r>
      <w:r w:rsidRPr="00691E49">
        <w:rPr>
          <w:rStyle w:val="a5"/>
          <w:color w:val="000080"/>
          <w:rtl/>
        </w:rPr>
        <w:footnoteReference w:id="14"/>
      </w:r>
    </w:p>
    <w:bookmarkEnd w:id="7"/>
    <w:p w14:paraId="7252D925" w14:textId="77777777" w:rsidR="00572DD8" w:rsidRPr="007B4240" w:rsidRDefault="00572DD8" w:rsidP="00572DD8">
      <w:pPr>
        <w:bidi/>
        <w:ind w:firstLine="163"/>
        <w:jc w:val="both"/>
        <w:rPr>
          <w:rtl/>
        </w:rPr>
      </w:pPr>
      <w:r w:rsidRPr="007B4240">
        <w:rPr>
          <w:rFonts w:hint="cs"/>
          <w:rtl/>
        </w:rPr>
        <w:t>سپس کلام محقق در معتبر را نیز نقل کرده است، که به این صورت است:</w:t>
      </w:r>
    </w:p>
    <w:p w14:paraId="6F6143A5" w14:textId="77777777" w:rsidR="00572DD8" w:rsidRPr="00691E49" w:rsidRDefault="00572DD8" w:rsidP="00572DD8">
      <w:pPr>
        <w:bidi/>
        <w:ind w:firstLine="163"/>
        <w:jc w:val="both"/>
        <w:rPr>
          <w:color w:val="000080"/>
          <w:rtl/>
        </w:rPr>
      </w:pPr>
      <w:r w:rsidRPr="00691E49">
        <w:rPr>
          <w:rFonts w:hint="cs"/>
          <w:color w:val="000080"/>
          <w:rtl/>
        </w:rPr>
        <w:t>«المسألة الخامسة لو لم يكن إمام الأصل ظاهرا سقط الوجوب، و لم يسقط الاستحباب و صليت جمعة إذا أمكن الاجتماع و الخطبتان، و به قال الشيخ في الخلاف و المبسوط و أنكره سلار»</w:t>
      </w:r>
      <w:r w:rsidRPr="00691E49">
        <w:rPr>
          <w:rStyle w:val="a5"/>
          <w:color w:val="000080"/>
          <w:rtl/>
        </w:rPr>
        <w:footnoteReference w:id="15"/>
      </w:r>
    </w:p>
    <w:p w14:paraId="016CFDAB" w14:textId="77777777" w:rsidR="00572DD8" w:rsidRPr="007B4240" w:rsidRDefault="00572DD8" w:rsidP="00572DD8">
      <w:pPr>
        <w:bidi/>
        <w:ind w:firstLine="163"/>
        <w:jc w:val="both"/>
        <w:rPr>
          <w:rtl/>
        </w:rPr>
      </w:pPr>
      <w:r w:rsidRPr="007B4240">
        <w:rPr>
          <w:rFonts w:hint="cs"/>
          <w:rtl/>
        </w:rPr>
        <w:t xml:space="preserve">محقق در معتبر قائل به عدم وجوب است ولی استحباب را ثابت می داند، و همین را به شیخ در خلاف و مبسوط نیز نسبت می دهد. </w:t>
      </w:r>
    </w:p>
    <w:p w14:paraId="4D4C2BD0" w14:textId="77777777" w:rsidR="00572DD8" w:rsidRPr="007B4240" w:rsidRDefault="00572DD8" w:rsidP="00572DD8">
      <w:pPr>
        <w:bidi/>
        <w:ind w:firstLine="163"/>
        <w:jc w:val="both"/>
        <w:rPr>
          <w:rtl/>
        </w:rPr>
      </w:pPr>
      <w:r w:rsidRPr="007B4240">
        <w:rPr>
          <w:rFonts w:hint="cs"/>
          <w:rtl/>
        </w:rPr>
        <w:t xml:space="preserve">در جای دیگر از معتبر فرموده است: </w:t>
      </w:r>
    </w:p>
    <w:p w14:paraId="7E39A838" w14:textId="77777777" w:rsidR="00572DD8" w:rsidRPr="00691E49" w:rsidRDefault="00572DD8" w:rsidP="00572DD8">
      <w:pPr>
        <w:bidi/>
        <w:ind w:firstLine="163"/>
        <w:jc w:val="both"/>
        <w:rPr>
          <w:color w:val="000080"/>
          <w:rtl/>
        </w:rPr>
      </w:pPr>
      <w:r w:rsidRPr="00691E49">
        <w:rPr>
          <w:rFonts w:hint="cs"/>
          <w:color w:val="000080"/>
          <w:rtl/>
        </w:rPr>
        <w:t>«لو كان السلطان جائرا و نصب عدلا استحب الاجتماع و انعقدت جمعة، و أطبق الجمهور على الوجوب، لنا أنا بينا أن الامام العادل أو من نصبه شرط الوجوب، و التقدير عدم ذلك الشرط، أما الاستحباب فلما بيناه من الاذن مع عدمه».</w:t>
      </w:r>
      <w:r w:rsidRPr="00691E49">
        <w:rPr>
          <w:rStyle w:val="a5"/>
          <w:color w:val="000080"/>
          <w:rtl/>
        </w:rPr>
        <w:footnoteReference w:id="16"/>
      </w:r>
    </w:p>
    <w:p w14:paraId="04F779F6" w14:textId="77777777" w:rsidR="00572DD8" w:rsidRPr="007B4240" w:rsidRDefault="00572DD8" w:rsidP="00572DD8">
      <w:pPr>
        <w:bidi/>
        <w:ind w:firstLine="163"/>
        <w:jc w:val="both"/>
        <w:rPr>
          <w:rtl/>
        </w:rPr>
      </w:pPr>
      <w:r w:rsidRPr="007B4240">
        <w:rPr>
          <w:rFonts w:hint="cs"/>
          <w:rtl/>
        </w:rPr>
        <w:t>کلام علامه در تذکره را نیز نقل کرده است که قبلا خواندیم و کلام ایشان در تحریر را نیز نقل کرده است که به این شرح است:</w:t>
      </w:r>
    </w:p>
    <w:p w14:paraId="250E9162" w14:textId="77777777" w:rsidR="00572DD8" w:rsidRPr="00691E49" w:rsidRDefault="00572DD8" w:rsidP="00572DD8">
      <w:pPr>
        <w:bidi/>
        <w:ind w:firstLine="163"/>
        <w:jc w:val="both"/>
        <w:rPr>
          <w:color w:val="000080"/>
          <w:rtl/>
        </w:rPr>
      </w:pPr>
      <w:r w:rsidRPr="00691E49">
        <w:rPr>
          <w:rFonts w:hint="cs"/>
          <w:color w:val="000080"/>
          <w:rtl/>
        </w:rPr>
        <w:t>«أن من شرائط الجمعة الإمام العادل أو من نصبه، فلو لم يكن الامام ظاهرا و لا نائب له سقط الوجوب إجماعا، و هل يجوز الاجتماع مع إمكان الخطبة؟ قولان»</w:t>
      </w:r>
      <w:r w:rsidRPr="00691E49">
        <w:rPr>
          <w:rStyle w:val="a5"/>
          <w:color w:val="000080"/>
          <w:rtl/>
        </w:rPr>
        <w:footnoteReference w:id="17"/>
      </w:r>
    </w:p>
    <w:p w14:paraId="3AEC2D3A" w14:textId="77777777" w:rsidR="00572DD8" w:rsidRPr="007B4240" w:rsidRDefault="00572DD8" w:rsidP="00572DD8">
      <w:pPr>
        <w:bidi/>
        <w:ind w:firstLine="163"/>
        <w:jc w:val="both"/>
        <w:rPr>
          <w:rFonts w:hint="cs"/>
          <w:rtl/>
        </w:rPr>
      </w:pPr>
      <w:r w:rsidRPr="007B4240">
        <w:rPr>
          <w:rFonts w:hint="cs"/>
          <w:rtl/>
        </w:rPr>
        <w:t>سپس کلمات دیگران را نیز ذکر کرده است.</w:t>
      </w:r>
    </w:p>
    <w:p w14:paraId="118FCEA2" w14:textId="77777777" w:rsidR="00572DD8" w:rsidRPr="007B4240" w:rsidRDefault="00572DD8" w:rsidP="00572DD8">
      <w:pPr>
        <w:bidi/>
        <w:ind w:firstLine="163"/>
        <w:jc w:val="both"/>
        <w:rPr>
          <w:rFonts w:hint="cs"/>
          <w:rtl/>
        </w:rPr>
      </w:pPr>
      <w:r w:rsidRPr="007B4240">
        <w:rPr>
          <w:rFonts w:hint="cs"/>
          <w:rtl/>
        </w:rPr>
        <w:lastRenderedPageBreak/>
        <w:t xml:space="preserve">در مجموع آنچه از این کلمات به دست می آید این است که بسیاری از فقهاء تصریح به جواز نماز جمعه و نفی وجوب آن </w:t>
      </w:r>
      <w:bookmarkStart w:id="8" w:name="_GoBack"/>
      <w:bookmarkEnd w:id="8"/>
      <w:r w:rsidRPr="007B4240">
        <w:rPr>
          <w:rFonts w:hint="cs"/>
          <w:rtl/>
        </w:rPr>
        <w:t xml:space="preserve">کرده اند و ادعای اتفاق و اجماع بر این قول هم زیاد است. </w:t>
      </w:r>
    </w:p>
    <w:p w14:paraId="54F6D80B" w14:textId="77777777" w:rsidR="00572DD8" w:rsidRPr="007B4240" w:rsidRDefault="00572DD8" w:rsidP="00572DD8">
      <w:pPr>
        <w:bidi/>
        <w:ind w:firstLine="163"/>
        <w:jc w:val="both"/>
        <w:rPr>
          <w:rFonts w:hint="cs"/>
          <w:rtl/>
        </w:rPr>
      </w:pPr>
      <w:r w:rsidRPr="007B4240">
        <w:rPr>
          <w:rFonts w:hint="cs"/>
          <w:rtl/>
        </w:rPr>
        <w:t>البته قول به وجوب تعیینی هم به برخی از قدماء نسبت داده شده است، ولی قول به وجوب تخییری بسیار مشهورتر است.</w:t>
      </w:r>
    </w:p>
    <w:p w14:paraId="1CCB0ADF" w14:textId="77777777" w:rsidR="00572DD8" w:rsidRPr="007B4240" w:rsidRDefault="00572DD8" w:rsidP="00572DD8">
      <w:pPr>
        <w:bidi/>
        <w:ind w:firstLine="163"/>
        <w:jc w:val="both"/>
        <w:rPr>
          <w:rFonts w:hint="cs"/>
          <w:rtl/>
        </w:rPr>
      </w:pPr>
      <w:r w:rsidRPr="007B4240">
        <w:rPr>
          <w:rFonts w:hint="cs"/>
          <w:rtl/>
        </w:rPr>
        <w:t>و از طرفی هم این نسبت دادن قول به وجوب تعیینی به قدماء، چیزی بود که صاحب حدائق از کلمات برخی از قدماء استظهار کرده بود، ولی استظهار ایشان صحیح نیست.</w:t>
      </w:r>
    </w:p>
    <w:p w14:paraId="346CBD91" w14:textId="77777777" w:rsidR="00572DD8" w:rsidRPr="007B4240" w:rsidRDefault="00572DD8" w:rsidP="00572DD8">
      <w:pPr>
        <w:bidi/>
        <w:ind w:firstLine="163"/>
        <w:jc w:val="both"/>
        <w:rPr>
          <w:rFonts w:hint="cs"/>
          <w:rtl/>
        </w:rPr>
      </w:pPr>
      <w:r w:rsidRPr="007B4240">
        <w:rPr>
          <w:rFonts w:hint="cs"/>
          <w:rtl/>
        </w:rPr>
        <w:t xml:space="preserve">کلمات برخی از قدماء اینگونه بود که به صورت کلی نماز جمعه را واجب دانسته بودند، که صاحب حدائق از این کلام آنها استظهار کرد که در عصر غیبت نیز واجب تعیینی است، ولی کلام این آقایان منصرف به عصر حضور اهل بیت علیهم السلام است و شامل عصر غیبت نمی شود. </w:t>
      </w:r>
    </w:p>
    <w:p w14:paraId="4AB13220" w14:textId="77777777" w:rsidR="00572DD8" w:rsidRPr="007B4240" w:rsidRDefault="00572DD8" w:rsidP="00572DD8">
      <w:pPr>
        <w:bidi/>
        <w:ind w:firstLine="163"/>
        <w:jc w:val="both"/>
        <w:rPr>
          <w:rFonts w:hint="cs"/>
          <w:rtl/>
        </w:rPr>
      </w:pPr>
      <w:r w:rsidRPr="007B4240">
        <w:rPr>
          <w:rFonts w:hint="cs"/>
          <w:rtl/>
        </w:rPr>
        <w:t xml:space="preserve">دلیل ما بر این مطلب این است که شیخ طوسی و شهید و علامه و دیگران به همه علماء نسبت می دهند که علمای شیعه قائل به وجوب تخییری و نفی وجوب تعیینی هستند، بنابراین باید ظاهر کلام قدماء را نیز طوری معنا کنیم که با این مطلب سازگار باشد. </w:t>
      </w:r>
    </w:p>
    <w:p w14:paraId="0ADCD649" w14:textId="77777777" w:rsidR="00572DD8" w:rsidRPr="007B4240" w:rsidRDefault="00572DD8" w:rsidP="00572DD8">
      <w:pPr>
        <w:bidi/>
        <w:ind w:firstLine="163"/>
        <w:jc w:val="both"/>
        <w:rPr>
          <w:rFonts w:hint="cs"/>
          <w:rtl/>
        </w:rPr>
      </w:pPr>
      <w:r w:rsidRPr="00691E49">
        <w:rPr>
          <w:rFonts w:hint="cs"/>
          <w:highlight w:val="yellow"/>
          <w:rtl/>
        </w:rPr>
        <w:t xml:space="preserve">در مجموع، </w:t>
      </w:r>
      <w:r w:rsidRPr="007B4240">
        <w:rPr>
          <w:rFonts w:hint="cs"/>
          <w:rtl/>
        </w:rPr>
        <w:t>آنچه که از فحص کلمات اصحاب به دست می آید این است که هرچند برخی از قدماء و متأخرین قائل به وجوب تعیینی نماز جمعه در عصر غیبت هستند، ولی این قول، خلاف مشهور است، و قول مشهور همان قول به وجوب تخییری و افضلیت نماز جمعه بر نماز ظهر است، که بسیاری تصریح به این قول کرده اند و ادعای اجماع و اتفاق و نفی خلاف نیز بر این قول دارند.</w:t>
      </w:r>
    </w:p>
    <w:p w14:paraId="55156E22" w14:textId="77777777" w:rsidR="00572DD8" w:rsidRPr="007B4240" w:rsidRDefault="00572DD8" w:rsidP="00572DD8">
      <w:pPr>
        <w:bidi/>
        <w:ind w:firstLine="163"/>
        <w:jc w:val="both"/>
        <w:rPr>
          <w:rFonts w:hint="cs"/>
          <w:rtl/>
        </w:rPr>
      </w:pPr>
      <w:r w:rsidRPr="007B4240">
        <w:rPr>
          <w:rFonts w:hint="cs"/>
          <w:rtl/>
        </w:rPr>
        <w:t xml:space="preserve">در جلسه بعد، ادله طرفین را مطرح خواهیم کرد. </w:t>
      </w:r>
    </w:p>
    <w:p w14:paraId="6D90574B" w14:textId="28F50BD9" w:rsidR="00CC6BEF" w:rsidRPr="00572DD8" w:rsidRDefault="00CC6BEF" w:rsidP="00572DD8">
      <w:pPr>
        <w:bidi/>
        <w:ind w:firstLine="163"/>
        <w:jc w:val="both"/>
        <w:rPr>
          <w:rtl/>
        </w:rPr>
      </w:pPr>
    </w:p>
    <w:sectPr w:rsidR="00CC6BEF" w:rsidRPr="00572DD8"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325543" w14:textId="77777777" w:rsidR="00752968" w:rsidRDefault="00752968" w:rsidP="00562677">
      <w:pPr>
        <w:spacing w:after="0" w:line="240" w:lineRule="auto"/>
      </w:pPr>
      <w:r>
        <w:separator/>
      </w:r>
    </w:p>
  </w:endnote>
  <w:endnote w:type="continuationSeparator" w:id="0">
    <w:p w14:paraId="31E99738" w14:textId="77777777" w:rsidR="00752968" w:rsidRDefault="00752968"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572DD8" w:rsidRPr="00572DD8">
                                  <w:rPr>
                                    <w:noProof/>
                                    <w:sz w:val="16"/>
                                    <w:szCs w:val="16"/>
                                  </w:rPr>
                                  <w:t>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572DD8" w:rsidRPr="00572DD8">
                            <w:rPr>
                              <w:noProof/>
                              <w:sz w:val="16"/>
                              <w:szCs w:val="16"/>
                            </w:rPr>
                            <w:t>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FD3B8" w14:textId="77777777" w:rsidR="00752968" w:rsidRDefault="00752968" w:rsidP="00562677">
      <w:pPr>
        <w:spacing w:after="0" w:line="240" w:lineRule="auto"/>
      </w:pPr>
      <w:r>
        <w:separator/>
      </w:r>
    </w:p>
  </w:footnote>
  <w:footnote w:type="continuationSeparator" w:id="0">
    <w:p w14:paraId="03FFB41E" w14:textId="77777777" w:rsidR="00752968" w:rsidRDefault="00752968" w:rsidP="00562677">
      <w:pPr>
        <w:spacing w:after="0" w:line="240" w:lineRule="auto"/>
      </w:pPr>
      <w:r>
        <w:continuationSeparator/>
      </w:r>
    </w:p>
  </w:footnote>
  <w:footnote w:id="1">
    <w:p w14:paraId="322EF05C" w14:textId="77777777" w:rsidR="00572DD8" w:rsidRPr="00197449" w:rsidRDefault="00572DD8" w:rsidP="00572DD8">
      <w:pPr>
        <w:pStyle w:val="a3"/>
        <w:bidi/>
        <w:rPr>
          <w:rFonts w:hint="cs"/>
          <w:rtl/>
        </w:rPr>
      </w:pPr>
      <w:r w:rsidRPr="00197449">
        <w:footnoteRef/>
      </w:r>
      <w:r w:rsidRPr="00197449">
        <w:rPr>
          <w:rtl/>
        </w:rPr>
        <w:t xml:space="preserve"> </w:t>
      </w:r>
      <w:hyperlink r:id="rId1" w:history="1">
        <w:r w:rsidRPr="00197449">
          <w:rPr>
            <w:rStyle w:val="af0"/>
            <w:rtl/>
          </w:rPr>
          <w:t>الحدائق الناضرة في أحكام العترة الطاهرة، البحراني، الشيخ يوس</w:t>
        </w:r>
        <w:r w:rsidRPr="00197449">
          <w:rPr>
            <w:rStyle w:val="af0"/>
            <w:rtl/>
          </w:rPr>
          <w:t>ف</w:t>
        </w:r>
        <w:r w:rsidRPr="00197449">
          <w:rPr>
            <w:rStyle w:val="af0"/>
            <w:rtl/>
          </w:rPr>
          <w:t>، ج9، ص378.</w:t>
        </w:r>
      </w:hyperlink>
    </w:p>
  </w:footnote>
  <w:footnote w:id="2">
    <w:p w14:paraId="4DC7C360" w14:textId="77777777" w:rsidR="00572DD8" w:rsidRPr="000B7DCB" w:rsidRDefault="00572DD8" w:rsidP="00572DD8">
      <w:pPr>
        <w:pStyle w:val="a3"/>
      </w:pPr>
      <w:r w:rsidRPr="000B7DCB">
        <w:footnoteRef/>
      </w:r>
      <w:r w:rsidRPr="000B7DCB">
        <w:rPr>
          <w:rtl/>
        </w:rPr>
        <w:t xml:space="preserve"> </w:t>
      </w:r>
      <w:hyperlink r:id="rId2" w:history="1">
        <w:r w:rsidRPr="000B7DCB">
          <w:rPr>
            <w:rStyle w:val="af0"/>
            <w:rtl/>
          </w:rPr>
          <w:t>سوره جمعه، آيه 9.</w:t>
        </w:r>
      </w:hyperlink>
    </w:p>
  </w:footnote>
  <w:footnote w:id="3">
    <w:p w14:paraId="039F1E6F" w14:textId="77777777" w:rsidR="00572DD8" w:rsidRPr="00197449" w:rsidRDefault="00572DD8" w:rsidP="00572DD8">
      <w:pPr>
        <w:pStyle w:val="a3"/>
        <w:bidi/>
        <w:rPr>
          <w:rFonts w:hint="cs"/>
          <w:rtl/>
        </w:rPr>
      </w:pPr>
      <w:r w:rsidRPr="00197449">
        <w:footnoteRef/>
      </w:r>
      <w:r w:rsidRPr="00197449">
        <w:rPr>
          <w:rtl/>
        </w:rPr>
        <w:t xml:space="preserve"> </w:t>
      </w:r>
      <w:hyperlink r:id="rId3" w:history="1">
        <w:r w:rsidRPr="00197449">
          <w:rPr>
            <w:rStyle w:val="af0"/>
            <w:rtl/>
          </w:rPr>
          <w:t>الحدائق الناضرة في أحكام العترة الطاهرة، البحراني، الشيخ يوسف، ج9، ص389.</w:t>
        </w:r>
      </w:hyperlink>
    </w:p>
  </w:footnote>
  <w:footnote w:id="4">
    <w:p w14:paraId="0A5F32AA" w14:textId="77777777" w:rsidR="00572DD8" w:rsidRPr="00197449" w:rsidRDefault="00572DD8" w:rsidP="00572DD8">
      <w:pPr>
        <w:pStyle w:val="a3"/>
        <w:bidi/>
        <w:rPr>
          <w:rFonts w:hint="cs"/>
          <w:rtl/>
        </w:rPr>
      </w:pPr>
      <w:r w:rsidRPr="00197449">
        <w:footnoteRef/>
      </w:r>
      <w:r w:rsidRPr="00197449">
        <w:rPr>
          <w:rtl/>
        </w:rPr>
        <w:t xml:space="preserve"> </w:t>
      </w:r>
      <w:hyperlink r:id="rId4" w:history="1">
        <w:r w:rsidRPr="00197449">
          <w:rPr>
            <w:rStyle w:val="af0"/>
            <w:rtl/>
          </w:rPr>
          <w:t>جواهر الكلام، النجفي الجواهري، الشيخ محمد حسن، ج11، ص151.</w:t>
        </w:r>
      </w:hyperlink>
    </w:p>
  </w:footnote>
  <w:footnote w:id="5">
    <w:p w14:paraId="012748ED" w14:textId="77777777" w:rsidR="00572DD8" w:rsidRPr="00197449" w:rsidRDefault="00572DD8" w:rsidP="00572DD8">
      <w:pPr>
        <w:pStyle w:val="a3"/>
        <w:bidi/>
        <w:rPr>
          <w:rFonts w:hint="cs"/>
          <w:rtl/>
        </w:rPr>
      </w:pPr>
      <w:r w:rsidRPr="00197449">
        <w:footnoteRef/>
      </w:r>
      <w:r w:rsidRPr="00197449">
        <w:rPr>
          <w:rtl/>
        </w:rPr>
        <w:t xml:space="preserve"> </w:t>
      </w:r>
      <w:hyperlink r:id="rId5" w:history="1">
        <w:r w:rsidRPr="00197449">
          <w:rPr>
            <w:rStyle w:val="af0"/>
            <w:rtl/>
          </w:rPr>
          <w:t>جواهر الكلام، النجفي الجواهري</w:t>
        </w:r>
        <w:r w:rsidRPr="00197449">
          <w:rPr>
            <w:rStyle w:val="af0"/>
            <w:rtl/>
          </w:rPr>
          <w:t>،</w:t>
        </w:r>
        <w:r w:rsidRPr="00197449">
          <w:rPr>
            <w:rStyle w:val="af0"/>
            <w:rtl/>
          </w:rPr>
          <w:t xml:space="preserve"> الشيخ محمد حسن، ج11، ص15</w:t>
        </w:r>
        <w:r>
          <w:rPr>
            <w:rStyle w:val="af0"/>
            <w:rFonts w:hint="cs"/>
            <w:rtl/>
          </w:rPr>
          <w:t>2</w:t>
        </w:r>
        <w:r w:rsidRPr="00197449">
          <w:rPr>
            <w:rStyle w:val="af0"/>
            <w:rtl/>
          </w:rPr>
          <w:t>.</w:t>
        </w:r>
      </w:hyperlink>
    </w:p>
  </w:footnote>
  <w:footnote w:id="6">
    <w:p w14:paraId="5B25632B" w14:textId="77777777" w:rsidR="00572DD8" w:rsidRPr="00197449" w:rsidRDefault="00572DD8" w:rsidP="00572DD8">
      <w:pPr>
        <w:pStyle w:val="a3"/>
        <w:bidi/>
        <w:rPr>
          <w:rFonts w:hint="cs"/>
          <w:rtl/>
        </w:rPr>
      </w:pPr>
      <w:r w:rsidRPr="00197449">
        <w:footnoteRef/>
      </w:r>
      <w:r w:rsidRPr="00197449">
        <w:rPr>
          <w:rtl/>
        </w:rPr>
        <w:t xml:space="preserve"> </w:t>
      </w:r>
      <w:hyperlink r:id="rId6" w:history="1">
        <w:r w:rsidRPr="00197449">
          <w:rPr>
            <w:rStyle w:val="af0"/>
            <w:rtl/>
          </w:rPr>
          <w:t>جواهر الكلام، النجفي الجواهري</w:t>
        </w:r>
        <w:r w:rsidRPr="00197449">
          <w:rPr>
            <w:rStyle w:val="af0"/>
            <w:rtl/>
          </w:rPr>
          <w:t>،</w:t>
        </w:r>
        <w:r w:rsidRPr="00197449">
          <w:rPr>
            <w:rStyle w:val="af0"/>
            <w:rtl/>
          </w:rPr>
          <w:t xml:space="preserve"> الشيخ محمد حسن، ج11، ص15</w:t>
        </w:r>
        <w:r>
          <w:rPr>
            <w:rStyle w:val="af0"/>
            <w:rFonts w:hint="cs"/>
            <w:rtl/>
          </w:rPr>
          <w:t>2</w:t>
        </w:r>
        <w:r w:rsidRPr="00197449">
          <w:rPr>
            <w:rStyle w:val="af0"/>
            <w:rtl/>
          </w:rPr>
          <w:t>.</w:t>
        </w:r>
      </w:hyperlink>
    </w:p>
  </w:footnote>
  <w:footnote w:id="7">
    <w:p w14:paraId="445A55DE" w14:textId="77777777" w:rsidR="00572DD8" w:rsidRPr="00197449" w:rsidRDefault="00572DD8" w:rsidP="00572DD8">
      <w:pPr>
        <w:pStyle w:val="a3"/>
        <w:bidi/>
        <w:rPr>
          <w:rFonts w:hint="cs"/>
          <w:rtl/>
        </w:rPr>
      </w:pPr>
      <w:r w:rsidRPr="00197449">
        <w:footnoteRef/>
      </w:r>
      <w:r w:rsidRPr="00197449">
        <w:rPr>
          <w:rtl/>
        </w:rPr>
        <w:t xml:space="preserve"> </w:t>
      </w:r>
      <w:hyperlink r:id="rId7" w:history="1">
        <w:r w:rsidRPr="00197449">
          <w:rPr>
            <w:rStyle w:val="af0"/>
            <w:rtl/>
          </w:rPr>
          <w:t>جواهر الكلام، النجفي الجواهري، الشيخ محمد ح</w:t>
        </w:r>
        <w:r w:rsidRPr="00197449">
          <w:rPr>
            <w:rStyle w:val="af0"/>
            <w:rtl/>
          </w:rPr>
          <w:t>س</w:t>
        </w:r>
        <w:r w:rsidRPr="00197449">
          <w:rPr>
            <w:rStyle w:val="af0"/>
            <w:rtl/>
          </w:rPr>
          <w:t>ن، ج11، ص15</w:t>
        </w:r>
        <w:r>
          <w:rPr>
            <w:rStyle w:val="af0"/>
            <w:rFonts w:hint="cs"/>
            <w:rtl/>
          </w:rPr>
          <w:t>2</w:t>
        </w:r>
        <w:r w:rsidRPr="00197449">
          <w:rPr>
            <w:rStyle w:val="af0"/>
            <w:rtl/>
          </w:rPr>
          <w:t>.</w:t>
        </w:r>
      </w:hyperlink>
    </w:p>
  </w:footnote>
  <w:footnote w:id="8">
    <w:p w14:paraId="589D0482" w14:textId="77777777" w:rsidR="00572DD8" w:rsidRPr="00197449" w:rsidRDefault="00572DD8" w:rsidP="00572DD8">
      <w:pPr>
        <w:pStyle w:val="a3"/>
        <w:bidi/>
        <w:rPr>
          <w:rFonts w:hint="cs"/>
          <w:rtl/>
        </w:rPr>
      </w:pPr>
      <w:r w:rsidRPr="00197449">
        <w:footnoteRef/>
      </w:r>
      <w:r w:rsidRPr="00197449">
        <w:rPr>
          <w:rtl/>
        </w:rPr>
        <w:t xml:space="preserve"> </w:t>
      </w:r>
      <w:hyperlink r:id="rId8" w:history="1">
        <w:r w:rsidRPr="00197449">
          <w:rPr>
            <w:rStyle w:val="af0"/>
            <w:rtl/>
          </w:rPr>
          <w:t>جواهر الكلام، النجفي الجواهري، الشيخ م</w:t>
        </w:r>
        <w:r w:rsidRPr="00197449">
          <w:rPr>
            <w:rStyle w:val="af0"/>
            <w:rtl/>
          </w:rPr>
          <w:t>ح</w:t>
        </w:r>
        <w:r w:rsidRPr="00197449">
          <w:rPr>
            <w:rStyle w:val="af0"/>
            <w:rtl/>
          </w:rPr>
          <w:t>مد حسن، ج11، ص15</w:t>
        </w:r>
        <w:r>
          <w:rPr>
            <w:rStyle w:val="af0"/>
            <w:rFonts w:hint="cs"/>
            <w:rtl/>
          </w:rPr>
          <w:t>3</w:t>
        </w:r>
        <w:r w:rsidRPr="00197449">
          <w:rPr>
            <w:rStyle w:val="af0"/>
            <w:rtl/>
          </w:rPr>
          <w:t>.</w:t>
        </w:r>
      </w:hyperlink>
    </w:p>
  </w:footnote>
  <w:footnote w:id="9">
    <w:p w14:paraId="1AC2C76B" w14:textId="77777777" w:rsidR="00572DD8" w:rsidRPr="00197449" w:rsidRDefault="00572DD8" w:rsidP="00572DD8">
      <w:pPr>
        <w:pStyle w:val="a3"/>
        <w:bidi/>
        <w:rPr>
          <w:rFonts w:hint="cs"/>
          <w:rtl/>
        </w:rPr>
      </w:pPr>
      <w:r w:rsidRPr="00197449">
        <w:footnoteRef/>
      </w:r>
      <w:r w:rsidRPr="00197449">
        <w:rPr>
          <w:rtl/>
        </w:rPr>
        <w:t xml:space="preserve"> </w:t>
      </w:r>
      <w:hyperlink r:id="rId9" w:history="1">
        <w:r w:rsidRPr="00197449">
          <w:rPr>
            <w:rStyle w:val="af0"/>
            <w:rtl/>
          </w:rPr>
          <w:t>جواهر الكلام، النجفي ال</w:t>
        </w:r>
        <w:r w:rsidRPr="00197449">
          <w:rPr>
            <w:rStyle w:val="af0"/>
            <w:rtl/>
          </w:rPr>
          <w:t>ج</w:t>
        </w:r>
        <w:r w:rsidRPr="00197449">
          <w:rPr>
            <w:rStyle w:val="af0"/>
            <w:rtl/>
          </w:rPr>
          <w:t>واهري، الشيخ محمد حسن، ج11، ص15</w:t>
        </w:r>
        <w:r>
          <w:rPr>
            <w:rStyle w:val="af0"/>
            <w:rFonts w:hint="cs"/>
            <w:rtl/>
          </w:rPr>
          <w:t>4</w:t>
        </w:r>
        <w:r w:rsidRPr="00197449">
          <w:rPr>
            <w:rStyle w:val="af0"/>
            <w:rtl/>
          </w:rPr>
          <w:t>.</w:t>
        </w:r>
      </w:hyperlink>
    </w:p>
  </w:footnote>
  <w:footnote w:id="10">
    <w:p w14:paraId="3D6925B1" w14:textId="77777777" w:rsidR="00572DD8" w:rsidRPr="00197449" w:rsidRDefault="00572DD8" w:rsidP="00572DD8">
      <w:pPr>
        <w:pStyle w:val="a3"/>
        <w:bidi/>
        <w:rPr>
          <w:rFonts w:hint="cs"/>
          <w:rtl/>
        </w:rPr>
      </w:pPr>
      <w:r w:rsidRPr="00197449">
        <w:footnoteRef/>
      </w:r>
      <w:r w:rsidRPr="00197449">
        <w:rPr>
          <w:rtl/>
        </w:rPr>
        <w:t xml:space="preserve"> </w:t>
      </w:r>
      <w:hyperlink r:id="rId10" w:history="1">
        <w:r w:rsidRPr="00197449">
          <w:rPr>
            <w:rStyle w:val="af0"/>
            <w:rtl/>
          </w:rPr>
          <w:t xml:space="preserve">جواهر الكلام، النجفي الجواهري، الشيخ محمد حسن، </w:t>
        </w:r>
        <w:r w:rsidRPr="00197449">
          <w:rPr>
            <w:rStyle w:val="af0"/>
            <w:rtl/>
          </w:rPr>
          <w:t>ج</w:t>
        </w:r>
        <w:r w:rsidRPr="00197449">
          <w:rPr>
            <w:rStyle w:val="af0"/>
            <w:rtl/>
          </w:rPr>
          <w:t>11، ص15</w:t>
        </w:r>
        <w:r>
          <w:rPr>
            <w:rStyle w:val="af0"/>
            <w:rFonts w:hint="cs"/>
            <w:rtl/>
          </w:rPr>
          <w:t>4</w:t>
        </w:r>
        <w:r w:rsidRPr="00197449">
          <w:rPr>
            <w:rStyle w:val="af0"/>
            <w:rtl/>
          </w:rPr>
          <w:t>.</w:t>
        </w:r>
      </w:hyperlink>
    </w:p>
  </w:footnote>
  <w:footnote w:id="11">
    <w:p w14:paraId="05D7DEA1" w14:textId="77777777" w:rsidR="00572DD8" w:rsidRPr="00197449" w:rsidRDefault="00572DD8" w:rsidP="00572DD8">
      <w:pPr>
        <w:pStyle w:val="a3"/>
        <w:bidi/>
        <w:rPr>
          <w:rFonts w:hint="cs"/>
          <w:rtl/>
        </w:rPr>
      </w:pPr>
      <w:r w:rsidRPr="00197449">
        <w:footnoteRef/>
      </w:r>
      <w:r w:rsidRPr="00197449">
        <w:rPr>
          <w:rtl/>
        </w:rPr>
        <w:t xml:space="preserve"> </w:t>
      </w:r>
      <w:hyperlink r:id="rId11" w:history="1">
        <w:r w:rsidRPr="00197449">
          <w:rPr>
            <w:rStyle w:val="af0"/>
            <w:rtl/>
          </w:rPr>
          <w:t>جواهر الكلام، الن</w:t>
        </w:r>
        <w:r w:rsidRPr="00197449">
          <w:rPr>
            <w:rStyle w:val="af0"/>
            <w:rtl/>
          </w:rPr>
          <w:t>ج</w:t>
        </w:r>
        <w:r w:rsidRPr="00197449">
          <w:rPr>
            <w:rStyle w:val="af0"/>
            <w:rtl/>
          </w:rPr>
          <w:t>في الجواهري، الشيخ محمد حسن، ج11، ص151.</w:t>
        </w:r>
      </w:hyperlink>
    </w:p>
  </w:footnote>
  <w:footnote w:id="12">
    <w:p w14:paraId="45848C79" w14:textId="77777777" w:rsidR="00572DD8" w:rsidRPr="00197449" w:rsidRDefault="00572DD8" w:rsidP="00572DD8">
      <w:pPr>
        <w:pStyle w:val="a3"/>
        <w:bidi/>
        <w:rPr>
          <w:rFonts w:hint="cs"/>
          <w:rtl/>
        </w:rPr>
      </w:pPr>
      <w:r w:rsidRPr="00197449">
        <w:footnoteRef/>
      </w:r>
      <w:r w:rsidRPr="00197449">
        <w:rPr>
          <w:rtl/>
        </w:rPr>
        <w:t xml:space="preserve"> </w:t>
      </w:r>
      <w:hyperlink r:id="rId12" w:history="1">
        <w:r w:rsidRPr="00197449">
          <w:rPr>
            <w:rStyle w:val="af0"/>
            <w:rtl/>
          </w:rPr>
          <w:t>جواهر الكلام، النجفي الجواهري، الشيخ محم</w:t>
        </w:r>
        <w:r w:rsidRPr="00197449">
          <w:rPr>
            <w:rStyle w:val="af0"/>
            <w:rtl/>
          </w:rPr>
          <w:t>د</w:t>
        </w:r>
        <w:r w:rsidRPr="00197449">
          <w:rPr>
            <w:rStyle w:val="af0"/>
            <w:rtl/>
          </w:rPr>
          <w:t xml:space="preserve"> حسن، ج11، ص151.</w:t>
        </w:r>
      </w:hyperlink>
    </w:p>
  </w:footnote>
  <w:footnote w:id="13">
    <w:p w14:paraId="090DCA76" w14:textId="77777777" w:rsidR="00572DD8" w:rsidRPr="00197449" w:rsidRDefault="00572DD8" w:rsidP="00572DD8">
      <w:pPr>
        <w:pStyle w:val="a3"/>
        <w:bidi/>
        <w:rPr>
          <w:rFonts w:hint="cs"/>
          <w:rtl/>
        </w:rPr>
      </w:pPr>
      <w:r w:rsidRPr="00197449">
        <w:footnoteRef/>
      </w:r>
      <w:r w:rsidRPr="00197449">
        <w:rPr>
          <w:rtl/>
        </w:rPr>
        <w:t xml:space="preserve"> </w:t>
      </w:r>
      <w:hyperlink r:id="rId13" w:history="1">
        <w:r w:rsidRPr="00197449">
          <w:rPr>
            <w:rStyle w:val="af0"/>
            <w:rtl/>
          </w:rPr>
          <w:t>جواهر الكلام، النجفي الجواهري، الشيخ محمد حسن، ج11، ص151.</w:t>
        </w:r>
      </w:hyperlink>
    </w:p>
  </w:footnote>
  <w:footnote w:id="14">
    <w:p w14:paraId="711CD5CC" w14:textId="77777777" w:rsidR="00572DD8" w:rsidRPr="00197449" w:rsidRDefault="00572DD8" w:rsidP="00572DD8">
      <w:pPr>
        <w:pStyle w:val="a3"/>
        <w:bidi/>
        <w:rPr>
          <w:rFonts w:hint="cs"/>
          <w:rtl/>
        </w:rPr>
      </w:pPr>
      <w:r w:rsidRPr="00197449">
        <w:footnoteRef/>
      </w:r>
      <w:r w:rsidRPr="00197449">
        <w:rPr>
          <w:rtl/>
        </w:rPr>
        <w:t xml:space="preserve"> </w:t>
      </w:r>
      <w:hyperlink r:id="rId14" w:history="1">
        <w:r w:rsidRPr="00197449">
          <w:rPr>
            <w:rStyle w:val="af0"/>
            <w:rtl/>
          </w:rPr>
          <w:t>جواهر الكلام، النجفي الجواهري، الشيخ محم</w:t>
        </w:r>
        <w:r w:rsidRPr="00197449">
          <w:rPr>
            <w:rStyle w:val="af0"/>
            <w:rtl/>
          </w:rPr>
          <w:t>د</w:t>
        </w:r>
        <w:r w:rsidRPr="00197449">
          <w:rPr>
            <w:rStyle w:val="af0"/>
            <w:rtl/>
          </w:rPr>
          <w:t xml:space="preserve"> حسن، ج11، ص15</w:t>
        </w:r>
        <w:r>
          <w:rPr>
            <w:rStyle w:val="af0"/>
            <w:rFonts w:hint="cs"/>
            <w:rtl/>
          </w:rPr>
          <w:t>2</w:t>
        </w:r>
        <w:r w:rsidRPr="00197449">
          <w:rPr>
            <w:rStyle w:val="af0"/>
            <w:rtl/>
          </w:rPr>
          <w:t>.</w:t>
        </w:r>
      </w:hyperlink>
    </w:p>
  </w:footnote>
  <w:footnote w:id="15">
    <w:p w14:paraId="7A42F781" w14:textId="77777777" w:rsidR="00572DD8" w:rsidRPr="00197449" w:rsidRDefault="00572DD8" w:rsidP="00572DD8">
      <w:pPr>
        <w:pStyle w:val="a3"/>
        <w:bidi/>
        <w:rPr>
          <w:rFonts w:hint="cs"/>
          <w:rtl/>
        </w:rPr>
      </w:pPr>
      <w:r w:rsidRPr="00197449">
        <w:footnoteRef/>
      </w:r>
      <w:r w:rsidRPr="00197449">
        <w:rPr>
          <w:rtl/>
        </w:rPr>
        <w:t xml:space="preserve"> </w:t>
      </w:r>
      <w:hyperlink r:id="rId15" w:history="1">
        <w:r w:rsidRPr="00197449">
          <w:rPr>
            <w:rStyle w:val="af0"/>
            <w:rtl/>
          </w:rPr>
          <w:t>جواهر الكلام، النجفي الجواهري، الشيخ محمد حسن، ج11، ص15</w:t>
        </w:r>
        <w:r>
          <w:rPr>
            <w:rStyle w:val="af0"/>
            <w:rFonts w:hint="cs"/>
            <w:rtl/>
          </w:rPr>
          <w:t>3</w:t>
        </w:r>
        <w:r w:rsidRPr="00197449">
          <w:rPr>
            <w:rStyle w:val="af0"/>
            <w:rtl/>
          </w:rPr>
          <w:t>.</w:t>
        </w:r>
      </w:hyperlink>
    </w:p>
  </w:footnote>
  <w:footnote w:id="16">
    <w:p w14:paraId="761E0E90" w14:textId="77777777" w:rsidR="00572DD8" w:rsidRPr="00197449" w:rsidRDefault="00572DD8" w:rsidP="00572DD8">
      <w:pPr>
        <w:pStyle w:val="a3"/>
        <w:bidi/>
        <w:rPr>
          <w:rFonts w:hint="cs"/>
          <w:rtl/>
        </w:rPr>
      </w:pPr>
      <w:r w:rsidRPr="00197449">
        <w:footnoteRef/>
      </w:r>
      <w:r w:rsidRPr="00197449">
        <w:rPr>
          <w:rtl/>
        </w:rPr>
        <w:t xml:space="preserve"> </w:t>
      </w:r>
      <w:hyperlink r:id="rId16" w:history="1">
        <w:r w:rsidRPr="00197449">
          <w:rPr>
            <w:rStyle w:val="af0"/>
            <w:rtl/>
          </w:rPr>
          <w:t>جواهر الكلام، النجفي الجواهري، الشيخ م</w:t>
        </w:r>
        <w:r w:rsidRPr="00197449">
          <w:rPr>
            <w:rStyle w:val="af0"/>
            <w:rtl/>
          </w:rPr>
          <w:t>ح</w:t>
        </w:r>
        <w:r w:rsidRPr="00197449">
          <w:rPr>
            <w:rStyle w:val="af0"/>
            <w:rtl/>
          </w:rPr>
          <w:t>مد حسن، ج11، ص15</w:t>
        </w:r>
        <w:r>
          <w:rPr>
            <w:rStyle w:val="af0"/>
            <w:rFonts w:hint="cs"/>
            <w:rtl/>
          </w:rPr>
          <w:t>3</w:t>
        </w:r>
        <w:r w:rsidRPr="00197449">
          <w:rPr>
            <w:rStyle w:val="af0"/>
            <w:rtl/>
          </w:rPr>
          <w:t>.</w:t>
        </w:r>
      </w:hyperlink>
    </w:p>
  </w:footnote>
  <w:footnote w:id="17">
    <w:p w14:paraId="7A21B081" w14:textId="77777777" w:rsidR="00572DD8" w:rsidRPr="00197449" w:rsidRDefault="00572DD8" w:rsidP="00572DD8">
      <w:pPr>
        <w:pStyle w:val="a3"/>
        <w:bidi/>
        <w:rPr>
          <w:rFonts w:hint="cs"/>
          <w:rtl/>
        </w:rPr>
      </w:pPr>
      <w:r w:rsidRPr="00197449">
        <w:footnoteRef/>
      </w:r>
      <w:r w:rsidRPr="00197449">
        <w:rPr>
          <w:rtl/>
        </w:rPr>
        <w:t xml:space="preserve"> </w:t>
      </w:r>
      <w:hyperlink r:id="rId17" w:history="1">
        <w:r w:rsidRPr="00197449">
          <w:rPr>
            <w:rStyle w:val="af0"/>
            <w:rtl/>
          </w:rPr>
          <w:t>جواهر الكلام، النجفي الجواهري، الشيخ محمد حسن، ج11، ص15</w:t>
        </w:r>
        <w:r>
          <w:rPr>
            <w:rStyle w:val="af0"/>
            <w:rFonts w:hint="cs"/>
            <w:rtl/>
          </w:rPr>
          <w:t>4</w:t>
        </w:r>
        <w:r w:rsidRPr="00197449">
          <w:rPr>
            <w:rStyle w:val="af0"/>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4E742EF6" w:rsidR="004B53CC" w:rsidRDefault="00FA3A6A" w:rsidP="00572DD8">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572DD8">
      <w:rPr>
        <w:rFonts w:cs="B Mitra" w:hint="cs"/>
        <w:b/>
        <w:bCs/>
        <w:sz w:val="24"/>
        <w:szCs w:val="24"/>
        <w:rtl/>
        <w:lang w:bidi="fa-IR"/>
      </w:rPr>
      <w:t>7</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0088/11/153/&#1575;&#1604;&#1587;&#1604;&#1591;&#1575;&#1606;" TargetMode="External"/><Relationship Id="rId13" Type="http://schemas.openxmlformats.org/officeDocument/2006/relationships/hyperlink" Target="http://lib.eshia.ir/10088/11/151/&#1610;&#1580;&#1578;&#1605;&#1593;" TargetMode="External"/><Relationship Id="rId3" Type="http://schemas.openxmlformats.org/officeDocument/2006/relationships/hyperlink" Target="http://lib.eshia.ir/10013/9/389/&#1604;&#1610;&#1607;&#1610;&#1574;" TargetMode="External"/><Relationship Id="rId7" Type="http://schemas.openxmlformats.org/officeDocument/2006/relationships/hyperlink" Target="http://lib.eshia.ir/10088/11/152/&#1575;&#1604;&#1605;&#1578;&#1601;&#1602;&#1607;&#1577;" TargetMode="External"/><Relationship Id="rId12" Type="http://schemas.openxmlformats.org/officeDocument/2006/relationships/hyperlink" Target="http://lib.eshia.ir/10088/11/151/&#1589;&#1585;&#1610;&#1581;&#1577;" TargetMode="External"/><Relationship Id="rId17" Type="http://schemas.openxmlformats.org/officeDocument/2006/relationships/hyperlink" Target="http://lib.eshia.ir/10088/11/154/&#1575;&#1604;&#1593;&#1575;&#1583;&#1604;" TargetMode="External"/><Relationship Id="rId2" Type="http://schemas.openxmlformats.org/officeDocument/2006/relationships/hyperlink" Target="http://lib.eshia.ir//17001/1/554/9" TargetMode="External"/><Relationship Id="rId16" Type="http://schemas.openxmlformats.org/officeDocument/2006/relationships/hyperlink" Target="http://lib.eshia.ir/10088/11/153/&#1575;&#1604;&#1587;&#1604;&#1591;&#1575;&#1606;" TargetMode="External"/><Relationship Id="rId1" Type="http://schemas.openxmlformats.org/officeDocument/2006/relationships/hyperlink" Target="http://lib.eshia.ir/10013/9/378/&#1582;&#1604;&#1575;&#1601;" TargetMode="External"/><Relationship Id="rId6" Type="http://schemas.openxmlformats.org/officeDocument/2006/relationships/hyperlink" Target="http://lib.eshia.ir/10088/11/152/&#1589;&#1585;&#1575;&#1581;&#1577;" TargetMode="External"/><Relationship Id="rId11" Type="http://schemas.openxmlformats.org/officeDocument/2006/relationships/hyperlink" Target="http://lib.eshia.ir/10088/11/151/&#1575;&#1606;&#1606;&#1593;&#1602;&#1575;&#1583;" TargetMode="External"/><Relationship Id="rId5" Type="http://schemas.openxmlformats.org/officeDocument/2006/relationships/hyperlink" Target="http://lib.eshia.ir/10088/11/152/&#1575;&#1604;&#1589;&#1604;&#1608;&#1575;&#1578;" TargetMode="External"/><Relationship Id="rId15" Type="http://schemas.openxmlformats.org/officeDocument/2006/relationships/hyperlink" Target="http://lib.eshia.ir/10088/11/153/&#1575;&#1604;&#1582;&#1575;&#1605;&#1587;&#1577;" TargetMode="External"/><Relationship Id="rId10" Type="http://schemas.openxmlformats.org/officeDocument/2006/relationships/hyperlink" Target="http://lib.eshia.ir/10088/11/154/&#1591;&#1576;&#1602;&#1577;" TargetMode="External"/><Relationship Id="rId4" Type="http://schemas.openxmlformats.org/officeDocument/2006/relationships/hyperlink" Target="http://lib.eshia.ir/10088/11/151/&#1610;&#1580;&#1578;&#1605;&#1593;" TargetMode="External"/><Relationship Id="rId9" Type="http://schemas.openxmlformats.org/officeDocument/2006/relationships/hyperlink" Target="http://lib.eshia.ir/10088/11/154/&#1575;&#1606;&#1593;&#1602;&#1575;&#1583;&#1607;&#1575;" TargetMode="External"/><Relationship Id="rId14" Type="http://schemas.openxmlformats.org/officeDocument/2006/relationships/hyperlink" Target="http://lib.eshia.ir/10088/11/152/&#1575;&#1604;&#1581;&#16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67BF4-3299-4706-8AA1-60A429A9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1506</Words>
  <Characters>8588</Characters>
  <Application>Microsoft Office Word</Application>
  <DocSecurity>0</DocSecurity>
  <Lines>71</Lines>
  <Paragraphs>20</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148</cp:revision>
  <cp:lastPrinted>2023-12-28T03:35:00Z</cp:lastPrinted>
  <dcterms:created xsi:type="dcterms:W3CDTF">2023-05-29T13:42:00Z</dcterms:created>
  <dcterms:modified xsi:type="dcterms:W3CDTF">2024-10-05T21:12:00Z</dcterms:modified>
</cp:coreProperties>
</file>