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8477" w14:textId="7265245B" w:rsidR="000079C6" w:rsidRPr="00116970" w:rsidRDefault="000E731B" w:rsidP="009314F6">
      <w:pPr>
        <w:ind w:firstLine="157"/>
        <w:rPr>
          <w:color w:val="FF0000"/>
          <w:rtl/>
        </w:rPr>
      </w:pPr>
      <w:r w:rsidRPr="00116970">
        <w:rPr>
          <w:rFonts w:hint="cs"/>
          <w:color w:val="FF0000"/>
          <w:rtl/>
        </w:rPr>
        <w:t xml:space="preserve">موضوع: کتاب </w:t>
      </w:r>
      <w:r w:rsidR="00763019" w:rsidRPr="00116970">
        <w:rPr>
          <w:rFonts w:hint="cs"/>
          <w:color w:val="FF0000"/>
          <w:rtl/>
        </w:rPr>
        <w:t>الصلاة</w:t>
      </w:r>
      <w:r w:rsidRPr="00116970">
        <w:rPr>
          <w:rFonts w:hint="cs"/>
          <w:color w:val="FF0000"/>
          <w:rtl/>
        </w:rPr>
        <w:t xml:space="preserve"> </w:t>
      </w:r>
      <w:r w:rsidR="004009FC" w:rsidRPr="00116970">
        <w:rPr>
          <w:rFonts w:hint="cs"/>
          <w:color w:val="FF0000"/>
          <w:rtl/>
        </w:rPr>
        <w:t>/</w:t>
      </w:r>
      <w:r w:rsidRPr="00116970">
        <w:rPr>
          <w:rFonts w:hint="cs"/>
          <w:color w:val="FF0000"/>
          <w:rtl/>
        </w:rPr>
        <w:t xml:space="preserve"> </w:t>
      </w:r>
      <w:r w:rsidR="00763019" w:rsidRPr="00116970">
        <w:rPr>
          <w:rFonts w:hint="cs"/>
          <w:color w:val="FF0000"/>
          <w:rtl/>
        </w:rPr>
        <w:t>ستر</w:t>
      </w:r>
      <w:r w:rsidRPr="00116970">
        <w:rPr>
          <w:rFonts w:hint="cs"/>
          <w:color w:val="FF0000"/>
          <w:rtl/>
        </w:rPr>
        <w:t xml:space="preserve"> / </w:t>
      </w:r>
      <w:r w:rsidR="009314F6">
        <w:rPr>
          <w:rFonts w:hint="cs"/>
          <w:color w:val="FF0000"/>
          <w:rtl/>
        </w:rPr>
        <w:t>نصوص</w:t>
      </w:r>
    </w:p>
    <w:p w14:paraId="514B79A1" w14:textId="77777777" w:rsidR="009314F6" w:rsidRDefault="009314F6" w:rsidP="009314F6">
      <w:pPr>
        <w:ind w:firstLine="157"/>
        <w:rPr>
          <w:color w:val="FF0000"/>
          <w:rtl/>
        </w:rPr>
      </w:pPr>
    </w:p>
    <w:p w14:paraId="3BCB9A25" w14:textId="37263EFE" w:rsidR="00F923F1" w:rsidRDefault="00F923F1" w:rsidP="009314F6">
      <w:pPr>
        <w:ind w:firstLine="157"/>
        <w:rPr>
          <w:color w:val="FF0000"/>
          <w:rtl/>
        </w:rPr>
      </w:pPr>
      <w:r w:rsidRPr="009314F6">
        <w:rPr>
          <w:color w:val="FF0000"/>
          <w:rtl/>
        </w:rPr>
        <w:t xml:space="preserve">دو نکته در باب ضبط الفاظ </w:t>
      </w:r>
    </w:p>
    <w:p w14:paraId="46C3D00C" w14:textId="6E1C5FE4" w:rsidR="00ED0E63" w:rsidRPr="00ED0E63" w:rsidRDefault="00ED0E63" w:rsidP="009314F6">
      <w:pPr>
        <w:ind w:firstLine="157"/>
        <w:rPr>
          <w:color w:val="000000"/>
          <w:rtl/>
        </w:rPr>
      </w:pPr>
      <w:r w:rsidRPr="00ED0E63">
        <w:rPr>
          <w:rFonts w:hint="cs"/>
          <w:color w:val="000000"/>
          <w:rtl/>
        </w:rPr>
        <w:t xml:space="preserve">قبل از شروع اصل بحث، دو واژه در جلسات گذشته مطرح شد که لازم است پیرامون ضبط آنها مطلبی بیان کنیم. </w:t>
      </w:r>
    </w:p>
    <w:p w14:paraId="0CE54022" w14:textId="4CB81A1F" w:rsidR="00F923F1" w:rsidRPr="003F1983" w:rsidRDefault="00722385" w:rsidP="00F923F1">
      <w:pPr>
        <w:ind w:firstLine="157"/>
        <w:rPr>
          <w:color w:val="FF0000"/>
          <w:rtl/>
        </w:rPr>
      </w:pPr>
      <w:r w:rsidRPr="003F1983">
        <w:rPr>
          <w:rFonts w:hint="cs"/>
          <w:color w:val="FF0000"/>
          <w:rtl/>
        </w:rPr>
        <w:t>واژه «طلی یتطلي»</w:t>
      </w:r>
    </w:p>
    <w:p w14:paraId="484B2D7B" w14:textId="77777777" w:rsidR="00343725" w:rsidRDefault="00F923F1" w:rsidP="00343725">
      <w:pPr>
        <w:ind w:firstLine="157"/>
        <w:rPr>
          <w:color w:val="000080"/>
          <w:rtl/>
        </w:rPr>
      </w:pPr>
      <w:r>
        <w:rPr>
          <w:rtl/>
        </w:rPr>
        <w:t>واژه "</w:t>
      </w:r>
      <w:r>
        <w:rPr>
          <w:rFonts w:hint="cs"/>
          <w:rtl/>
        </w:rPr>
        <w:t>یَ</w:t>
      </w:r>
      <w:r w:rsidR="00722385">
        <w:rPr>
          <w:rFonts w:hint="cs"/>
          <w:rtl/>
        </w:rPr>
        <w:t>ط</w:t>
      </w:r>
      <w:r>
        <w:rPr>
          <w:rFonts w:hint="eastAsia"/>
          <w:rtl/>
        </w:rPr>
        <w:t>ل</w:t>
      </w:r>
      <w:r w:rsidR="00722385">
        <w:rPr>
          <w:rFonts w:hint="cs"/>
          <w:rtl/>
        </w:rPr>
        <w:t>ي</w:t>
      </w:r>
      <w:r>
        <w:rPr>
          <w:rtl/>
        </w:rPr>
        <w:t>"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722385">
        <w:rPr>
          <w:rtl/>
        </w:rPr>
        <w:t xml:space="preserve"> "طَل</w:t>
      </w:r>
      <w:r w:rsidR="00722385"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 w:rsidR="00722385">
        <w:rPr>
          <w:rFonts w:hint="cs"/>
          <w:rtl/>
        </w:rPr>
        <w:t>ط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" است که در لغت به باب افعال نرفته است. ما واژه "إطلا</w:t>
      </w:r>
      <w:r w:rsidR="00722385">
        <w:rPr>
          <w:rFonts w:hint="cs"/>
          <w:rtl/>
        </w:rPr>
        <w:t>ء</w:t>
      </w:r>
      <w:r>
        <w:rPr>
          <w:rtl/>
        </w:rPr>
        <w:t>"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تلفظ "</w:t>
      </w:r>
      <w:r>
        <w:rPr>
          <w:rFonts w:hint="cs"/>
          <w:rtl/>
        </w:rPr>
        <w:t>یُ</w:t>
      </w:r>
      <w:r w:rsidR="00722385">
        <w:rPr>
          <w:rFonts w:hint="cs"/>
          <w:rtl/>
        </w:rPr>
        <w:t>ط</w:t>
      </w:r>
      <w:r>
        <w:rPr>
          <w:rFonts w:hint="eastAsia"/>
          <w:rtl/>
        </w:rPr>
        <w:t>ل</w:t>
      </w:r>
      <w:r w:rsidR="00722385">
        <w:rPr>
          <w:rFonts w:hint="cs"/>
          <w:rtl/>
        </w:rPr>
        <w:t>ي</w:t>
      </w:r>
      <w:r>
        <w:rPr>
          <w:rtl/>
        </w:rPr>
        <w:t>"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صورت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"</w:t>
      </w:r>
      <w:r>
        <w:rPr>
          <w:rFonts w:hint="cs"/>
          <w:rtl/>
        </w:rPr>
        <w:t>یَ</w:t>
      </w:r>
      <w:r w:rsidR="00722385">
        <w:rPr>
          <w:rFonts w:hint="cs"/>
          <w:rtl/>
        </w:rPr>
        <w:t>ط</w:t>
      </w:r>
      <w:r>
        <w:rPr>
          <w:rFonts w:hint="eastAsia"/>
          <w:rtl/>
        </w:rPr>
        <w:t>ل</w:t>
      </w:r>
      <w:r w:rsidR="00722385">
        <w:rPr>
          <w:rFonts w:hint="cs"/>
          <w:rtl/>
        </w:rPr>
        <w:t>ي</w:t>
      </w:r>
      <w:r>
        <w:rPr>
          <w:rtl/>
        </w:rPr>
        <w:t>"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722385">
        <w:rPr>
          <w:rtl/>
        </w:rPr>
        <w:t xml:space="preserve"> "طَل</w:t>
      </w:r>
      <w:r w:rsidR="00722385">
        <w:rPr>
          <w:rFonts w:hint="cs"/>
          <w:rtl/>
        </w:rPr>
        <w:t>ی</w:t>
      </w:r>
      <w:r>
        <w:rPr>
          <w:rtl/>
        </w:rPr>
        <w:t>"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غه،</w:t>
      </w:r>
      <w:r>
        <w:rPr>
          <w:rtl/>
        </w:rPr>
        <w:t xml:space="preserve"> مضارع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722385">
        <w:rPr>
          <w:rtl/>
        </w:rPr>
        <w:t xml:space="preserve"> مذکر از باب "رَم</w:t>
      </w:r>
      <w:r w:rsidR="00722385"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رم</w:t>
      </w:r>
      <w:r w:rsidR="00722385">
        <w:rPr>
          <w:rFonts w:hint="cs"/>
          <w:rtl/>
        </w:rPr>
        <w:t>ي</w:t>
      </w:r>
      <w:r>
        <w:rPr>
          <w:rtl/>
        </w:rPr>
        <w:t>" است. چنانکه "جوهر</w:t>
      </w:r>
      <w:r>
        <w:rPr>
          <w:rFonts w:hint="cs"/>
          <w:rtl/>
        </w:rPr>
        <w:t>ی</w:t>
      </w:r>
      <w:r>
        <w:rPr>
          <w:rtl/>
        </w:rPr>
        <w:t>" در کتاب "صحا</w:t>
      </w:r>
      <w:r>
        <w:rPr>
          <w:rFonts w:hint="eastAsia"/>
          <w:rtl/>
        </w:rPr>
        <w:t>ح</w:t>
      </w:r>
      <w:r>
        <w:rPr>
          <w:rtl/>
        </w:rPr>
        <w:t>" خود</w:t>
      </w:r>
      <w:r w:rsidR="003F1983">
        <w:rPr>
          <w:rFonts w:hint="cs"/>
          <w:rtl/>
        </w:rPr>
        <w:t xml:space="preserve"> اینگونه</w:t>
      </w:r>
      <w:r>
        <w:rPr>
          <w:rtl/>
        </w:rPr>
        <w:t xml:space="preserve"> آورده است: </w:t>
      </w:r>
    </w:p>
    <w:p w14:paraId="25117566" w14:textId="071CA067" w:rsidR="003F1983" w:rsidRDefault="003F1983" w:rsidP="00343725">
      <w:pPr>
        <w:ind w:firstLine="157"/>
        <w:rPr>
          <w:rtl/>
        </w:rPr>
      </w:pPr>
      <w:r w:rsidRPr="003F1983">
        <w:rPr>
          <w:rFonts w:hint="cs"/>
          <w:color w:val="000080"/>
          <w:rtl/>
        </w:rPr>
        <w:t>«</w:t>
      </w:r>
      <w:r w:rsidR="00722385" w:rsidRPr="003F1983">
        <w:rPr>
          <w:color w:val="000080"/>
          <w:rtl/>
        </w:rPr>
        <w:t xml:space="preserve">و </w:t>
      </w:r>
      <w:r w:rsidR="00722385" w:rsidRPr="003F1983">
        <w:rPr>
          <w:rStyle w:val="hilight"/>
          <w:color w:val="000080"/>
          <w:rtl/>
        </w:rPr>
        <w:t>طَلَيْتَهُ</w:t>
      </w:r>
      <w:r w:rsidR="00722385" w:rsidRPr="003F1983">
        <w:rPr>
          <w:color w:val="000080"/>
          <w:rtl/>
        </w:rPr>
        <w:t xml:space="preserve"> بالدهن و غيره </w:t>
      </w:r>
      <w:r w:rsidR="00722385" w:rsidRPr="003F1983">
        <w:rPr>
          <w:rStyle w:val="kalamatekhas"/>
          <w:color w:val="000080"/>
          <w:rtl/>
        </w:rPr>
        <w:t>طَلْياً</w:t>
      </w:r>
      <w:r>
        <w:rPr>
          <w:color w:val="000080"/>
        </w:rPr>
        <w:t>.</w:t>
      </w:r>
      <w:r>
        <w:rPr>
          <w:rFonts w:hint="cs"/>
          <w:color w:val="000080"/>
          <w:rtl/>
        </w:rPr>
        <w:t xml:space="preserve"> </w:t>
      </w:r>
      <w:r w:rsidR="00722385" w:rsidRPr="003F1983">
        <w:rPr>
          <w:color w:val="000080"/>
          <w:rtl/>
        </w:rPr>
        <w:t xml:space="preserve">و </w:t>
      </w:r>
      <w:r w:rsidR="00722385" w:rsidRPr="003F1983">
        <w:rPr>
          <w:rStyle w:val="hilight"/>
          <w:color w:val="000080"/>
          <w:rtl/>
        </w:rPr>
        <w:t>تَطَلَّيْتُ</w:t>
      </w:r>
      <w:r w:rsidR="00722385" w:rsidRPr="003F1983">
        <w:rPr>
          <w:color w:val="000080"/>
          <w:rtl/>
        </w:rPr>
        <w:t xml:space="preserve"> به؛ و </w:t>
      </w:r>
      <w:r w:rsidR="00722385" w:rsidRPr="003F1983">
        <w:rPr>
          <w:rStyle w:val="kalamatekhas"/>
          <w:color w:val="000080"/>
          <w:rtl/>
        </w:rPr>
        <w:t>اطَّلَيْتُ</w:t>
      </w:r>
      <w:r w:rsidR="00722385" w:rsidRPr="003F1983">
        <w:rPr>
          <w:color w:val="000080"/>
          <w:rtl/>
        </w:rPr>
        <w:t xml:space="preserve"> به، على افْتَعَلْتُ</w:t>
      </w:r>
      <w:r w:rsidRPr="003F1983">
        <w:rPr>
          <w:rFonts w:hint="cs"/>
          <w:color w:val="000080"/>
          <w:rtl/>
        </w:rPr>
        <w:t>»</w:t>
      </w:r>
      <w:r w:rsidR="00722385" w:rsidRPr="003F1983">
        <w:rPr>
          <w:color w:val="000080"/>
        </w:rPr>
        <w:t>.</w:t>
      </w:r>
      <w:r w:rsidR="00722385">
        <w:rPr>
          <w:rStyle w:val="FootnoteReference"/>
          <w:rtl/>
        </w:rPr>
        <w:footnoteReference w:id="1"/>
      </w:r>
      <w:r w:rsidR="00F923F1">
        <w:rPr>
          <w:rtl/>
        </w:rPr>
        <w:t xml:space="preserve"> </w:t>
      </w:r>
    </w:p>
    <w:p w14:paraId="61C162CF" w14:textId="77777777" w:rsidR="003F1983" w:rsidRDefault="003F1983" w:rsidP="003F1983">
      <w:pPr>
        <w:ind w:firstLine="157"/>
        <w:rPr>
          <w:rtl/>
        </w:rPr>
      </w:pPr>
      <w:r>
        <w:rPr>
          <w:rFonts w:hint="cs"/>
          <w:rtl/>
        </w:rPr>
        <w:t xml:space="preserve">ایشان </w:t>
      </w:r>
      <w:r w:rsidR="00F923F1">
        <w:rPr>
          <w:rtl/>
        </w:rPr>
        <w:t>مصدر</w:t>
      </w:r>
      <w:r>
        <w:rPr>
          <w:rFonts w:hint="cs"/>
          <w:rtl/>
        </w:rPr>
        <w:t xml:space="preserve"> را، طلی دانسته است، مثل رمی.</w:t>
      </w:r>
    </w:p>
    <w:p w14:paraId="006605CD" w14:textId="77777777" w:rsidR="003F1983" w:rsidRDefault="003F1983" w:rsidP="003F1983">
      <w:pPr>
        <w:ind w:firstLine="157"/>
        <w:rPr>
          <w:rtl/>
        </w:rPr>
      </w:pPr>
      <w:r>
        <w:rPr>
          <w:rFonts w:hint="cs"/>
          <w:rtl/>
        </w:rPr>
        <w:t>تعبیر «</w:t>
      </w:r>
      <w:r w:rsidR="00F923F1">
        <w:rPr>
          <w:rtl/>
        </w:rPr>
        <w:t>تَطَلَّ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تُ</w:t>
      </w:r>
      <w:r>
        <w:rPr>
          <w:rtl/>
        </w:rPr>
        <w:t xml:space="preserve"> و </w:t>
      </w:r>
      <w:r w:rsidR="00F923F1">
        <w:rPr>
          <w:rtl/>
        </w:rPr>
        <w:t>اطَّلَ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تُ</w:t>
      </w:r>
      <w:r w:rsidR="00F923F1">
        <w:rPr>
          <w:rtl/>
        </w:rPr>
        <w:t xml:space="preserve"> بِهِ عل</w:t>
      </w:r>
      <w:r w:rsidR="00F923F1">
        <w:rPr>
          <w:rFonts w:hint="cs"/>
          <w:rtl/>
        </w:rPr>
        <w:t>ی</w:t>
      </w:r>
      <w:r>
        <w:rPr>
          <w:rtl/>
        </w:rPr>
        <w:t xml:space="preserve"> افتعلتُ</w:t>
      </w:r>
      <w:r>
        <w:rPr>
          <w:rFonts w:hint="cs"/>
          <w:rtl/>
        </w:rPr>
        <w:t>»</w:t>
      </w:r>
      <w:r w:rsidR="00F923F1">
        <w:rPr>
          <w:rtl/>
        </w:rPr>
        <w:t xml:space="preserve"> بدان معناست که ا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ن</w:t>
      </w:r>
      <w:r w:rsidR="00F923F1">
        <w:rPr>
          <w:rtl/>
        </w:rPr>
        <w:t xml:space="preserve"> ر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شه</w:t>
      </w:r>
      <w:r w:rsidR="00F923F1">
        <w:rPr>
          <w:rtl/>
        </w:rPr>
        <w:t xml:space="preserve"> فقط به دو باب تفع</w:t>
      </w:r>
      <w:r>
        <w:rPr>
          <w:rFonts w:hint="cs"/>
          <w:rtl/>
        </w:rPr>
        <w:t>ّ</w:t>
      </w:r>
      <w:r w:rsidR="00F923F1">
        <w:rPr>
          <w:rtl/>
        </w:rPr>
        <w:t xml:space="preserve">ل </w:t>
      </w:r>
      <w:r>
        <w:rPr>
          <w:rFonts w:hint="cs"/>
          <w:rtl/>
        </w:rPr>
        <w:t>و</w:t>
      </w:r>
      <w:r w:rsidR="00F923F1">
        <w:rPr>
          <w:rtl/>
        </w:rPr>
        <w:t xml:space="preserve"> افتعال رفته است. </w:t>
      </w:r>
    </w:p>
    <w:p w14:paraId="611F6CB9" w14:textId="77777777" w:rsidR="003F1983" w:rsidRDefault="00F923F1" w:rsidP="003F1983">
      <w:pPr>
        <w:ind w:firstLine="157"/>
        <w:rPr>
          <w:rtl/>
        </w:rPr>
      </w:pPr>
      <w:r>
        <w:rPr>
          <w:rFonts w:hint="eastAsia"/>
          <w:rtl/>
        </w:rPr>
        <w:t>کلام</w:t>
      </w:r>
      <w:r>
        <w:rPr>
          <w:rtl/>
        </w:rPr>
        <w:t xml:space="preserve"> </w:t>
      </w:r>
      <w:r w:rsidR="003F1983">
        <w:rPr>
          <w:rFonts w:hint="cs"/>
          <w:rtl/>
        </w:rPr>
        <w:t>ایشان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خصوص، دلالت روشن</w:t>
      </w:r>
      <w:r>
        <w:rPr>
          <w:rFonts w:hint="cs"/>
          <w:rtl/>
        </w:rPr>
        <w:t>ی</w:t>
      </w:r>
      <w:r>
        <w:rPr>
          <w:rtl/>
        </w:rPr>
        <w:t xml:space="preserve">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 به باب افعال نرفته است. </w:t>
      </w:r>
    </w:p>
    <w:p w14:paraId="0A83C8D1" w14:textId="19EACF54" w:rsidR="003F1983" w:rsidRDefault="00F923F1" w:rsidP="003F1983">
      <w:pPr>
        <w:ind w:firstLine="157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3F1983">
        <w:rPr>
          <w:rFonts w:hint="cs"/>
          <w:rtl/>
        </w:rPr>
        <w:t>نیز</w:t>
      </w:r>
      <w:r>
        <w:rPr>
          <w:rtl/>
        </w:rPr>
        <w:t xml:space="preserve"> به صورت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استعمال نشده و آنچه آمده، به صورت مجرد است. </w:t>
      </w:r>
    </w:p>
    <w:p w14:paraId="40C3D513" w14:textId="694E4EE4" w:rsidR="00F923F1" w:rsidRDefault="00F923F1" w:rsidP="003F1983">
      <w:pPr>
        <w:ind w:firstLine="157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"مختار الصحاح"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ذکر شده است. مؤلف "مختار الصحاح"، "اب</w:t>
      </w:r>
      <w:r>
        <w:rPr>
          <w:rFonts w:hint="cs"/>
          <w:rtl/>
        </w:rPr>
        <w:t>ی‌</w:t>
      </w:r>
      <w:r>
        <w:rPr>
          <w:rFonts w:hint="eastAsia"/>
          <w:rtl/>
        </w:rPr>
        <w:t>بکر</w:t>
      </w:r>
      <w:r>
        <w:rPr>
          <w:rtl/>
        </w:rPr>
        <w:t xml:space="preserve"> عبدالقادر راز</w:t>
      </w:r>
      <w:r>
        <w:rPr>
          <w:rFonts w:hint="cs"/>
          <w:rtl/>
        </w:rPr>
        <w:t>ی</w:t>
      </w:r>
      <w:r>
        <w:rPr>
          <w:rtl/>
        </w:rPr>
        <w:t>"، تنها به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ترجمه "صحاح" نپرداخته، بلکه خود مفسر</w:t>
      </w:r>
      <w:r>
        <w:rPr>
          <w:rFonts w:hint="cs"/>
          <w:rtl/>
        </w:rPr>
        <w:t>ی</w:t>
      </w:r>
      <w:r>
        <w:rPr>
          <w:rtl/>
        </w:rPr>
        <w:t xml:space="preserve"> از عالمان متقدم بوده است. او علاوه بر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مختصر و جامع بر قرآن، کتاب "مختار الصحاح"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نوشت</w:t>
      </w:r>
      <w:r>
        <w:rPr>
          <w:rFonts w:hint="eastAsia"/>
          <w:rtl/>
        </w:rPr>
        <w:t>ه</w:t>
      </w:r>
      <w:r>
        <w:rPr>
          <w:rtl/>
        </w:rPr>
        <w:t xml:space="preserve"> است.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بر "صحاح اللغه" آن است که گاه</w:t>
      </w:r>
      <w:r>
        <w:rPr>
          <w:rFonts w:hint="cs"/>
          <w:rtl/>
        </w:rPr>
        <w:t>ی</w:t>
      </w:r>
      <w:r>
        <w:rPr>
          <w:rtl/>
        </w:rPr>
        <w:t xml:space="preserve"> اوزان لغات</w:t>
      </w:r>
      <w:r>
        <w:rPr>
          <w:rFonts w:hint="cs"/>
          <w:rtl/>
        </w:rPr>
        <w:t>ی</w:t>
      </w:r>
      <w:r>
        <w:rPr>
          <w:rtl/>
        </w:rPr>
        <w:t xml:space="preserve"> را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"صحاح"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است. برا</w:t>
      </w:r>
      <w:r>
        <w:rPr>
          <w:rFonts w:hint="cs"/>
          <w:rtl/>
        </w:rPr>
        <w:t>ی</w:t>
      </w:r>
      <w:r>
        <w:rPr>
          <w:rtl/>
        </w:rPr>
        <w:t xml:space="preserve"> نمونه،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ما، پس از نقل متن "صحاح"، اضافه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F1983">
        <w:rPr>
          <w:rtl/>
        </w:rPr>
        <w:t xml:space="preserve"> فعل </w:t>
      </w:r>
      <w:r w:rsidR="003F1983">
        <w:rPr>
          <w:rFonts w:hint="cs"/>
          <w:rtl/>
        </w:rPr>
        <w:t>از</w:t>
      </w:r>
      <w:r w:rsidR="003F1983">
        <w:rPr>
          <w:rtl/>
        </w:rPr>
        <w:t xml:space="preserve"> باب رم</w:t>
      </w:r>
      <w:r w:rsidR="003F1983">
        <w:rPr>
          <w:rFonts w:hint="cs"/>
          <w:rtl/>
        </w:rPr>
        <w:t>ی یرمي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دارد و وزن لغات را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759229B7" w14:textId="77777777" w:rsidR="00E90C4F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عبارت</w:t>
      </w:r>
      <w:r>
        <w:rPr>
          <w:rtl/>
        </w:rPr>
        <w:t xml:space="preserve">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14:paraId="5007B0F1" w14:textId="6B1A80BC" w:rsidR="00E90C4F" w:rsidRPr="00343725" w:rsidRDefault="003F1983" w:rsidP="003F1983">
      <w:pPr>
        <w:ind w:firstLine="157"/>
        <w:rPr>
          <w:color w:val="000080"/>
          <w:rtl/>
        </w:rPr>
      </w:pPr>
      <w:r w:rsidRPr="00343725">
        <w:rPr>
          <w:rFonts w:hint="cs"/>
          <w:color w:val="000080"/>
          <w:rtl/>
        </w:rPr>
        <w:lastRenderedPageBreak/>
        <w:t>«</w:t>
      </w:r>
      <w:r w:rsidR="00E90C4F" w:rsidRPr="00343725">
        <w:rPr>
          <w:color w:val="000080"/>
          <w:rtl/>
        </w:rPr>
        <w:t>وَ (طَلَاهُ) بِالدُّهْنِ وَغَيْرِهِ مِنْ بَابِ رَمَى وَ (تَطَلَّى) بِالدُّهْنِ وَ (اطَّلَى) بِهِ عَلَى افْتَعَلَ</w:t>
      </w:r>
      <w:r w:rsidRPr="00343725">
        <w:rPr>
          <w:rFonts w:hint="cs"/>
          <w:color w:val="000080"/>
          <w:rtl/>
        </w:rPr>
        <w:t>»</w:t>
      </w:r>
      <w:r w:rsidR="00E90C4F" w:rsidRPr="00343725">
        <w:rPr>
          <w:color w:val="000080"/>
        </w:rPr>
        <w:t>.</w:t>
      </w:r>
      <w:r w:rsidR="00E90C4F" w:rsidRPr="00343725">
        <w:rPr>
          <w:rStyle w:val="FootnoteReference"/>
          <w:color w:val="000080"/>
          <w:rtl/>
        </w:rPr>
        <w:footnoteReference w:id="2"/>
      </w:r>
    </w:p>
    <w:p w14:paraId="6103C974" w14:textId="77777777" w:rsidR="00E90C4F" w:rsidRDefault="00F923F1" w:rsidP="00F923F1">
      <w:pPr>
        <w:ind w:firstLine="157"/>
        <w:rPr>
          <w:rtl/>
        </w:rPr>
      </w:pPr>
      <w:r>
        <w:rPr>
          <w:rtl/>
        </w:rPr>
        <w:t>"ف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کتاب "المصباح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" آورده است: </w:t>
      </w:r>
    </w:p>
    <w:p w14:paraId="5657DD57" w14:textId="3CB22A45" w:rsidR="00E90C4F" w:rsidRPr="00343725" w:rsidRDefault="00E90C4F" w:rsidP="003F1983">
      <w:pPr>
        <w:rPr>
          <w:color w:val="000080"/>
        </w:rPr>
      </w:pPr>
      <w:r w:rsidRPr="00343725">
        <w:rPr>
          <w:rFonts w:hint="cs"/>
          <w:color w:val="000080"/>
          <w:rtl/>
        </w:rPr>
        <w:t>«طَلَيْتُهُ؛ بِالطِّينِ وَ غيرِهِ (طَلْياً) مِنْ بَابِ رَمَى و (اطَّلَيْتُ) عَلَى افْتَعَلْتُ»</w:t>
      </w:r>
      <w:r w:rsidR="003F1983" w:rsidRPr="00343725">
        <w:rPr>
          <w:rFonts w:hint="cs"/>
          <w:color w:val="000080"/>
          <w:rtl/>
        </w:rPr>
        <w:t>.</w:t>
      </w:r>
      <w:r w:rsidR="003F1983" w:rsidRPr="00343725">
        <w:rPr>
          <w:rStyle w:val="FootnoteReference"/>
          <w:color w:val="000080"/>
          <w:rtl/>
        </w:rPr>
        <w:footnoteReference w:id="3"/>
      </w:r>
    </w:p>
    <w:p w14:paraId="2E8F2D01" w14:textId="4FCC3879" w:rsidR="00F923F1" w:rsidRDefault="00F923F1" w:rsidP="00343725">
      <w:pPr>
        <w:ind w:firstLine="157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مجموع،</w:t>
      </w:r>
      <w:r w:rsidR="00343725">
        <w:rPr>
          <w:rFonts w:hint="cs"/>
          <w:rtl/>
        </w:rPr>
        <w:t xml:space="preserve"> از کلمات لغویون استفاده می شود که تعبیر طلی یطلي، به همین صورت صحیح</w:t>
      </w:r>
      <w:r>
        <w:rPr>
          <w:rtl/>
        </w:rPr>
        <w:t xml:space="preserve"> است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آن، خلاف قاعده و نادرست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نکته در باب ضبط لفظ بود.</w:t>
      </w:r>
    </w:p>
    <w:p w14:paraId="45BE4053" w14:textId="367771AA" w:rsidR="00F923F1" w:rsidRPr="00343725" w:rsidRDefault="00343725" w:rsidP="00F923F1">
      <w:pPr>
        <w:ind w:firstLine="157"/>
        <w:rPr>
          <w:color w:val="FF0000"/>
          <w:rtl/>
        </w:rPr>
      </w:pPr>
      <w:r w:rsidRPr="00343725">
        <w:rPr>
          <w:rFonts w:hint="cs"/>
          <w:color w:val="FF0000"/>
          <w:rtl/>
        </w:rPr>
        <w:t xml:space="preserve">واژه </w:t>
      </w:r>
      <w:r>
        <w:rPr>
          <w:rFonts w:hint="cs"/>
          <w:color w:val="FF0000"/>
          <w:rtl/>
        </w:rPr>
        <w:t>«</w:t>
      </w:r>
      <w:r w:rsidRPr="00343725">
        <w:rPr>
          <w:rFonts w:hint="cs"/>
          <w:color w:val="FF0000"/>
          <w:rtl/>
        </w:rPr>
        <w:t>علوان</w:t>
      </w:r>
      <w:r>
        <w:rPr>
          <w:rFonts w:hint="cs"/>
          <w:color w:val="FF0000"/>
          <w:rtl/>
        </w:rPr>
        <w:t>»</w:t>
      </w:r>
    </w:p>
    <w:p w14:paraId="2EB69C80" w14:textId="1D79D1E4" w:rsidR="00F923F1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دوم، نام راو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"الحس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عُلوان" است، نه "عَلوان". در کتاب "توض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343725">
        <w:rPr>
          <w:rtl/>
        </w:rPr>
        <w:t xml:space="preserve"> ال</w:t>
      </w:r>
      <w:r w:rsidR="00343725">
        <w:rPr>
          <w:rFonts w:hint="cs"/>
          <w:rtl/>
        </w:rPr>
        <w:t>ا</w:t>
      </w:r>
      <w:r>
        <w:rPr>
          <w:rtl/>
        </w:rPr>
        <w:t xml:space="preserve">شتباه" که توسط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محققان بزرگ علم رجال، "محمدعل</w:t>
      </w:r>
      <w:r>
        <w:rPr>
          <w:rFonts w:hint="cs"/>
          <w:rtl/>
        </w:rPr>
        <w:t>ی</w:t>
      </w:r>
      <w:r>
        <w:rPr>
          <w:rtl/>
        </w:rPr>
        <w:t xml:space="preserve"> سارو</w:t>
      </w:r>
      <w:r>
        <w:rPr>
          <w:rFonts w:hint="cs"/>
          <w:rtl/>
        </w:rPr>
        <w:t>ی</w:t>
      </w:r>
      <w:r>
        <w:rPr>
          <w:rtl/>
        </w:rPr>
        <w:t>"، نوشته شده و صاحب "روضات الجنات" فراوان از آن نقل قول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آمده است: "ولم </w:t>
      </w:r>
      <w:r>
        <w:rPr>
          <w:rFonts w:hint="cs"/>
          <w:rtl/>
        </w:rPr>
        <w:t>یُ</w:t>
      </w:r>
      <w:r>
        <w:rPr>
          <w:rFonts w:hint="eastAsia"/>
          <w:rtl/>
        </w:rPr>
        <w:t>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الرجال مثلُهُ" (در ع</w:t>
      </w:r>
      <w:r>
        <w:rPr>
          <w:rFonts w:hint="eastAsia"/>
          <w:rtl/>
        </w:rPr>
        <w:t>لم</w:t>
      </w:r>
      <w:r>
        <w:rPr>
          <w:rtl/>
        </w:rPr>
        <w:t xml:space="preserve"> رجال، کتاب</w:t>
      </w:r>
      <w:r>
        <w:rPr>
          <w:rFonts w:hint="cs"/>
          <w:rtl/>
        </w:rPr>
        <w:t>ی</w:t>
      </w:r>
      <w:r>
        <w:rPr>
          <w:rtl/>
        </w:rPr>
        <w:t xml:space="preserve"> مانند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است). صاحب "روضات الجنات"، "خوانسار</w:t>
      </w:r>
      <w:r>
        <w:rPr>
          <w:rFonts w:hint="cs"/>
          <w:rtl/>
        </w:rPr>
        <w:t>ی</w:t>
      </w:r>
      <w:r>
        <w:rPr>
          <w:rtl/>
        </w:rPr>
        <w:t>"، که خود از مراجع بزرگ و کتابش مرجع</w:t>
      </w:r>
      <w:r>
        <w:rPr>
          <w:rFonts w:hint="cs"/>
          <w:rtl/>
        </w:rPr>
        <w:t>ی</w:t>
      </w:r>
      <w:r>
        <w:rPr>
          <w:rtl/>
        </w:rPr>
        <w:t xml:space="preserve"> معتبر در عهد "ر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العلماء افند</w:t>
      </w:r>
      <w:r>
        <w:rPr>
          <w:rFonts w:hint="cs"/>
          <w:rtl/>
        </w:rPr>
        <w:t>ی</w:t>
      </w:r>
      <w:r>
        <w:rPr>
          <w:rtl/>
        </w:rPr>
        <w:t>"، شاگرد "علامه مجلس</w:t>
      </w:r>
      <w:r>
        <w:rPr>
          <w:rFonts w:hint="cs"/>
          <w:rtl/>
        </w:rPr>
        <w:t>ی</w:t>
      </w:r>
      <w:r>
        <w:rPr>
          <w:rtl/>
        </w:rPr>
        <w:t>"،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اشاره کرده که "توض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الإشتباه" کتاب</w:t>
      </w:r>
      <w:r>
        <w:rPr>
          <w:rFonts w:hint="cs"/>
          <w:rtl/>
        </w:rPr>
        <w:t>ی</w:t>
      </w:r>
      <w:r>
        <w:rPr>
          <w:rtl/>
        </w:rPr>
        <w:t xml:space="preserve"> مرجع و مصدر است.</w:t>
      </w:r>
    </w:p>
    <w:p w14:paraId="1779964D" w14:textId="77777777" w:rsidR="00F923F1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نام راو</w:t>
      </w:r>
      <w:r>
        <w:rPr>
          <w:rFonts w:hint="cs"/>
          <w:rtl/>
        </w:rPr>
        <w:t>ی</w:t>
      </w:r>
      <w:r>
        <w:rPr>
          <w:rtl/>
        </w:rPr>
        <w:t xml:space="preserve"> "عُلوان" ضبط شده است. "نجاش</w:t>
      </w:r>
      <w:r>
        <w:rPr>
          <w:rFonts w:hint="cs"/>
          <w:rtl/>
        </w:rPr>
        <w:t>ی</w:t>
      </w:r>
      <w:r>
        <w:rPr>
          <w:rtl/>
        </w:rPr>
        <w:t>" نام "حس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علوان" را بدون ضبط (اعراب‌گذار</w:t>
      </w:r>
      <w:r>
        <w:rPr>
          <w:rFonts w:hint="cs"/>
          <w:rtl/>
        </w:rPr>
        <w:t>ی</w:t>
      </w:r>
      <w:r>
        <w:rPr>
          <w:rtl/>
        </w:rPr>
        <w:t>) آورده است. "ا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الإشتباه"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اصلاً نام او را ذکر نکرده است. در کتب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"خلاصه علامه" که معمولاً به ضبط اسام</w:t>
      </w:r>
      <w:r>
        <w:rPr>
          <w:rFonts w:hint="cs"/>
          <w:rtl/>
        </w:rPr>
        <w:t>ی</w:t>
      </w:r>
      <w:r>
        <w:rPr>
          <w:rtl/>
        </w:rPr>
        <w:t xml:space="preserve"> توجه دارد، ضبط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نشد.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(صاحب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الإشتباه) نام را "حس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عُلوان" آورده است و با توجه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 که به شهادت "خوانسار</w:t>
      </w:r>
      <w:r>
        <w:rPr>
          <w:rFonts w:hint="cs"/>
          <w:rtl/>
        </w:rPr>
        <w:t>ی</w:t>
      </w:r>
      <w:r>
        <w:rPr>
          <w:rtl/>
        </w:rPr>
        <w:t>" کم‌نظ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است، ضبط "عُلوان" ارجح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14:paraId="2E87BFA5" w14:textId="75A5E2BE" w:rsidR="00F923F1" w:rsidRPr="00343725" w:rsidRDefault="00343725" w:rsidP="00F923F1">
      <w:pPr>
        <w:ind w:firstLine="157"/>
        <w:rPr>
          <w:color w:val="FF0000"/>
          <w:rtl/>
        </w:rPr>
      </w:pPr>
      <w:r w:rsidRPr="00343725">
        <w:rPr>
          <w:rFonts w:hint="cs"/>
          <w:color w:val="FF0000"/>
          <w:rtl/>
        </w:rPr>
        <w:t>توضیح بیشتر پیرامون روایت حسین بن علوان</w:t>
      </w:r>
    </w:p>
    <w:p w14:paraId="28CFF535" w14:textId="5DE4BEF4" w:rsidR="00F923F1" w:rsidRDefault="00F923F1" w:rsidP="00343725">
      <w:pPr>
        <w:ind w:firstLine="157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موثقه است.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به عنوان کبر</w:t>
      </w:r>
      <w:r>
        <w:rPr>
          <w:rFonts w:hint="cs"/>
          <w:rtl/>
        </w:rPr>
        <w:t>ی</w:t>
      </w:r>
      <w:r>
        <w:rPr>
          <w:rtl/>
        </w:rPr>
        <w:t xml:space="preserve"> ذکر شده: "العورة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السرة والرکبة"، بر وزان و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است. چون "عوره"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و حکم به آن معلق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 است که حضرت ا</w:t>
      </w:r>
      <w:r>
        <w:rPr>
          <w:rFonts w:hint="eastAsia"/>
          <w:rtl/>
        </w:rPr>
        <w:t>بتدا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را در مورد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مصداق جزئ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سپس آن را در قالب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قاعده کل</w:t>
      </w:r>
      <w:r>
        <w:rPr>
          <w:rFonts w:hint="cs"/>
          <w:rtl/>
        </w:rPr>
        <w:t>ی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که شامل آن مصداق جزئ</w:t>
      </w:r>
      <w:r>
        <w:rPr>
          <w:rFonts w:hint="cs"/>
          <w:rtl/>
        </w:rPr>
        <w:t>ی</w:t>
      </w:r>
      <w:r>
        <w:rPr>
          <w:rtl/>
        </w:rPr>
        <w:t xml:space="preserve"> و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ساختار، به مثابه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</w:t>
      </w:r>
    </w:p>
    <w:p w14:paraId="65C04833" w14:textId="77777777" w:rsidR="00F923F1" w:rsidRDefault="00F923F1" w:rsidP="00F923F1">
      <w:pPr>
        <w:ind w:firstLine="157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هر حال،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مخصوص "امه" (کن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است، خلاف ظاهر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ضعف کلام صاحب "ر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>"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گفته است گرچه احتمال کل</w:t>
      </w:r>
      <w:r>
        <w:rPr>
          <w:rFonts w:hint="cs"/>
          <w:rtl/>
        </w:rPr>
        <w:t>ی</w:t>
      </w:r>
      <w:r>
        <w:rPr>
          <w:rtl/>
        </w:rPr>
        <w:t xml:space="preserve"> بودن آن وجود دارد، اما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ناظر به "امه"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است برخلاف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متداول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عرض شد،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شده‌اند. بنده در طول سال‌ها مواجهه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حکم جزئ</w:t>
      </w:r>
      <w:r>
        <w:rPr>
          <w:rFonts w:hint="cs"/>
          <w:rtl/>
        </w:rPr>
        <w:t>ی</w:t>
      </w:r>
      <w:r>
        <w:rPr>
          <w:rtl/>
        </w:rPr>
        <w:t xml:space="preserve"> و سپس قاعده کل</w:t>
      </w:r>
      <w:r>
        <w:rPr>
          <w:rFonts w:hint="cs"/>
          <w:rtl/>
        </w:rPr>
        <w:t>ی</w:t>
      </w:r>
      <w:r>
        <w:rPr>
          <w:rtl/>
        </w:rPr>
        <w:t>) را در موارد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مشاهده کرده‌ام. دأب و روش ائمه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حکم جزئ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سپس با ذکر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کبرا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را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>. 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"چون که صد آمد، نود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ماست"؛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جزئ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داخل در آن قاعده کل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1035953C" w14:textId="77777777" w:rsidR="00F923F1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اظهر، بلکه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14:paraId="1DD8DE89" w14:textId="77777777" w:rsidR="00F923F1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"ر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>" 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علوان"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و آن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دانسته است،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اشتباه فاحش است.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راو</w:t>
      </w:r>
      <w:r>
        <w:rPr>
          <w:rFonts w:hint="cs"/>
          <w:rtl/>
        </w:rPr>
        <w:t>ی</w:t>
      </w:r>
      <w:r>
        <w:rPr>
          <w:rtl/>
        </w:rPr>
        <w:t xml:space="preserve"> آن "عبدالله بن جعفر الحِم</w:t>
      </w:r>
      <w:r>
        <w:rPr>
          <w:rFonts w:hint="cs"/>
          <w:rtl/>
        </w:rPr>
        <w:t>یَ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" است که از بزرگان و اجلاء بوده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در وثاقت او تشک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نکرده است. او از "الحسن بن </w:t>
      </w:r>
      <w:r>
        <w:rPr>
          <w:rFonts w:hint="eastAsia"/>
          <w:rtl/>
        </w:rPr>
        <w:t>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"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هم "نجاش</w:t>
      </w:r>
      <w:r>
        <w:rPr>
          <w:rFonts w:hint="cs"/>
          <w:rtl/>
        </w:rPr>
        <w:t>ی</w:t>
      </w:r>
      <w:r>
        <w:rPr>
          <w:rtl/>
        </w:rPr>
        <w:t>" و هم "علامه" به وثاقت او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 و "ابن داوود"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 را از "کش</w:t>
      </w:r>
      <w:r>
        <w:rPr>
          <w:rFonts w:hint="cs"/>
          <w:rtl/>
        </w:rPr>
        <w:t>ی</w:t>
      </w:r>
      <w:r>
        <w:rPr>
          <w:rtl/>
        </w:rPr>
        <w:t>" نقل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و معارض</w:t>
      </w:r>
      <w:r>
        <w:rPr>
          <w:rFonts w:hint="cs"/>
          <w:rtl/>
        </w:rPr>
        <w:t>ی</w:t>
      </w:r>
      <w:r>
        <w:rPr>
          <w:rtl/>
        </w:rPr>
        <w:t xml:space="preserve"> هم ندارد.</w:t>
      </w:r>
    </w:p>
    <w:p w14:paraId="14F6DE74" w14:textId="77777777" w:rsidR="00F923F1" w:rsidRDefault="00F923F1" w:rsidP="00F923F1">
      <w:pPr>
        <w:ind w:firstLine="157"/>
        <w:rPr>
          <w:rtl/>
        </w:rPr>
      </w:pPr>
      <w:r>
        <w:rPr>
          <w:rtl/>
        </w:rPr>
        <w:t>"حسن بن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"الحس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عُلوان"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"نجاش</w:t>
      </w:r>
      <w:r>
        <w:rPr>
          <w:rFonts w:hint="cs"/>
          <w:rtl/>
        </w:rPr>
        <w:t>ی</w:t>
      </w:r>
      <w:r>
        <w:rPr>
          <w:rtl/>
        </w:rPr>
        <w:t>" و "علامه" به وثاقت او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"ابن عقده" و "کش</w:t>
      </w:r>
      <w:r>
        <w:rPr>
          <w:rFonts w:hint="cs"/>
          <w:rtl/>
        </w:rPr>
        <w:t>ی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کرده‌اند.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"حس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علوان"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نکرده است. لکن "کش</w:t>
      </w:r>
      <w:r>
        <w:rPr>
          <w:rFonts w:hint="cs"/>
          <w:rtl/>
        </w:rPr>
        <w:t>ی</w:t>
      </w:r>
      <w:r>
        <w:rPr>
          <w:rtl/>
        </w:rPr>
        <w:t>" درباره او و برادرش و جماعت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گفته است: "هؤلاء م</w:t>
      </w:r>
      <w:r>
        <w:rPr>
          <w:rFonts w:hint="eastAsia"/>
          <w:rtl/>
        </w:rPr>
        <w:t>ن</w:t>
      </w:r>
      <w:r>
        <w:rPr>
          <w:rtl/>
        </w:rPr>
        <w:t xml:space="preserve"> رجال العامه و لکن له"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علوان) "م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حت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انه کان مستوراً".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"کش</w:t>
      </w:r>
      <w:r>
        <w:rPr>
          <w:rFonts w:hint="cs"/>
          <w:rtl/>
        </w:rPr>
        <w:t>ی</w:t>
      </w:r>
      <w:r>
        <w:rPr>
          <w:rtl/>
        </w:rPr>
        <w:t>" او را از "رجال العامه" دانسته،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"موثقه"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در عبارت "ابن عقده" آمده است که برادر او "اوثق منه" است.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"اوثق" باشد، فرع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دو ثقه باشند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فرد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کار برد. "علامه"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عبارت، آن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کرده است.</w:t>
      </w:r>
    </w:p>
    <w:p w14:paraId="48B90DBD" w14:textId="77777777" w:rsidR="00F923F1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ملاک ضعف</w:t>
      </w:r>
      <w:r>
        <w:rPr>
          <w:rFonts w:hint="cs"/>
          <w:rtl/>
        </w:rPr>
        <w:t>ی</w:t>
      </w:r>
      <w:r>
        <w:rPr>
          <w:rtl/>
        </w:rPr>
        <w:t xml:space="preserve"> ندارد و نظر صاحب "ر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>" مبن</w:t>
      </w:r>
      <w:r>
        <w:rPr>
          <w:rFonts w:hint="cs"/>
          <w:rtl/>
        </w:rPr>
        <w:t>ی</w:t>
      </w:r>
      <w:r>
        <w:rPr>
          <w:rtl/>
        </w:rPr>
        <w:t xml:space="preserve"> بر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بودن آن،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موثقه 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7AE0C2CD" w14:textId="77777777" w:rsidR="00072ED3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ادامه، عبارت صاحب "ر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>" را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72ED3">
        <w:rPr>
          <w:rFonts w:hint="cs"/>
          <w:rtl/>
        </w:rPr>
        <w:t>. ایشان فرموده است:</w:t>
      </w:r>
    </w:p>
    <w:p w14:paraId="4B9305B4" w14:textId="2A599F77" w:rsidR="00072ED3" w:rsidRPr="00072ED3" w:rsidRDefault="00072ED3" w:rsidP="00072ED3">
      <w:pPr>
        <w:rPr>
          <w:color w:val="000080"/>
          <w:rtl/>
        </w:rPr>
      </w:pPr>
      <w:r w:rsidRPr="00072ED3">
        <w:rPr>
          <w:rFonts w:hint="cs"/>
          <w:color w:val="000080"/>
          <w:rtl/>
        </w:rPr>
        <w:t>«و ستر ما بين السرة و الركبة أفضل كما هو المشهور، بل في الخلاف الإجماع عليه. و أوجبه القاضي، و لعله للخبر المروي في قرب الإسناد للحميري: «إذا زوّج الرجل أمته فلا ينظر إلى عورتها، و العورة ما بين السرة و الركبة».</w:t>
      </w:r>
    </w:p>
    <w:p w14:paraId="1DF13545" w14:textId="0B7AFAD3" w:rsidR="00072ED3" w:rsidRDefault="00072ED3" w:rsidP="00072ED3">
      <w:pPr>
        <w:rPr>
          <w:rtl/>
        </w:rPr>
      </w:pPr>
      <w:r w:rsidRPr="00072ED3">
        <w:rPr>
          <w:rFonts w:hint="cs"/>
          <w:color w:val="000080"/>
          <w:rtl/>
        </w:rPr>
        <w:lastRenderedPageBreak/>
        <w:t>و فيه- مع عدم وضوح السند، و عدم المقاومة لما مرّ- ظهوره في عورة الأمة لا الرجل، أو العورة المطلقة على بعد، فهو على التقديرين مخالف للإجماع فتوى و نصا. على أن المرأة مطلقا جميع جسدها عورة إلّا الوجه و ما شابهه مما سيأتي إليه الإشارة»</w:t>
      </w:r>
      <w:r>
        <w:rPr>
          <w:rFonts w:hint="cs"/>
          <w:color w:val="000080"/>
          <w:rtl/>
        </w:rPr>
        <w:t>.</w:t>
      </w:r>
      <w:r>
        <w:rPr>
          <w:rStyle w:val="FootnoteReference"/>
          <w:rtl/>
        </w:rPr>
        <w:footnoteReference w:id="4"/>
      </w:r>
    </w:p>
    <w:p w14:paraId="0144A862" w14:textId="3FABE741" w:rsidR="00F923F1" w:rsidRDefault="002F7623" w:rsidP="002F7623">
      <w:pPr>
        <w:ind w:firstLine="157"/>
        <w:rPr>
          <w:rtl/>
        </w:rPr>
      </w:pPr>
      <w:r>
        <w:rPr>
          <w:rFonts w:hint="cs"/>
          <w:rtl/>
        </w:rPr>
        <w:t>ایشان،</w:t>
      </w:r>
      <w:r w:rsidR="00F923F1">
        <w:rPr>
          <w:rtl/>
        </w:rPr>
        <w:t xml:space="preserve"> ستر ما ب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ن</w:t>
      </w:r>
      <w:r w:rsidR="00F923F1">
        <w:rPr>
          <w:rtl/>
        </w:rPr>
        <w:t xml:space="preserve"> السرة والرکبة </w:t>
      </w:r>
      <w:r>
        <w:rPr>
          <w:rFonts w:hint="cs"/>
          <w:rtl/>
        </w:rPr>
        <w:t xml:space="preserve">را </w:t>
      </w:r>
      <w:r w:rsidR="00F923F1">
        <w:rPr>
          <w:rtl/>
        </w:rPr>
        <w:t xml:space="preserve">افضل </w:t>
      </w:r>
      <w:r>
        <w:rPr>
          <w:rFonts w:hint="cs"/>
          <w:rtl/>
        </w:rPr>
        <w:t>دانسته و قائل به وجوب نشده است، ولی</w:t>
      </w:r>
      <w:r w:rsidR="00F923F1">
        <w:rPr>
          <w:rtl/>
        </w:rPr>
        <w:t xml:space="preserve"> ما نصوص مستف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ضه‌ا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را ارائه و دلالت آن‌ها را 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ک</w:t>
      </w:r>
      <w:r w:rsidR="00F923F1">
        <w:rPr>
          <w:rtl/>
        </w:rPr>
        <w:t xml:space="preserve"> به 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ک</w:t>
      </w:r>
      <w:r w:rsidR="00F923F1">
        <w:rPr>
          <w:rtl/>
        </w:rPr>
        <w:t xml:space="preserve"> تقر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ب</w:t>
      </w:r>
      <w:r w:rsidR="00F923F1">
        <w:rPr>
          <w:rtl/>
        </w:rPr>
        <w:t xml:space="preserve"> کرد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م</w:t>
      </w:r>
      <w:r w:rsidR="00F923F1">
        <w:rPr>
          <w:rtl/>
        </w:rPr>
        <w:t>. ا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ن</w:t>
      </w:r>
      <w:r w:rsidR="00F923F1">
        <w:rPr>
          <w:rtl/>
        </w:rPr>
        <w:t xml:space="preserve"> روا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ات،</w:t>
      </w:r>
      <w:r w:rsidR="00F923F1">
        <w:rPr>
          <w:rtl/>
        </w:rPr>
        <w:t xml:space="preserve"> غ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ر</w:t>
      </w:r>
      <w:r w:rsidR="00F923F1">
        <w:rPr>
          <w:rtl/>
        </w:rPr>
        <w:t xml:space="preserve"> از موثقه "حس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ن</w:t>
      </w:r>
      <w:r w:rsidR="00F923F1">
        <w:rPr>
          <w:rtl/>
        </w:rPr>
        <w:t xml:space="preserve"> بن علوان" که ظهورش نزد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ک</w:t>
      </w:r>
      <w:r w:rsidR="00F923F1">
        <w:rPr>
          <w:rtl/>
        </w:rPr>
        <w:t xml:space="preserve"> به صراحت و بل</w:t>
      </w:r>
      <w:r w:rsidR="00F923F1">
        <w:rPr>
          <w:rFonts w:hint="eastAsia"/>
          <w:rtl/>
        </w:rPr>
        <w:t>که</w:t>
      </w:r>
      <w:r w:rsidR="00F923F1">
        <w:rPr>
          <w:rtl/>
        </w:rPr>
        <w:t xml:space="preserve"> صر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ح</w:t>
      </w:r>
      <w:r w:rsidR="00F923F1">
        <w:rPr>
          <w:rtl/>
        </w:rPr>
        <w:t xml:space="preserve"> در تحد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د</w:t>
      </w:r>
      <w:r w:rsidR="00F923F1">
        <w:rPr>
          <w:rtl/>
        </w:rPr>
        <w:t xml:space="preserve"> است، ظهور واضح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دارند در ا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نکه</w:t>
      </w:r>
      <w:r w:rsidR="00F923F1">
        <w:rPr>
          <w:rtl/>
        </w:rPr>
        <w:t xml:space="preserve"> حضرت، عورت را به ما ب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ن</w:t>
      </w:r>
      <w:r w:rsidR="00F923F1">
        <w:rPr>
          <w:rtl/>
        </w:rPr>
        <w:t xml:space="preserve"> ناف و زانو محدود کرده، خود آن را م</w:t>
      </w:r>
      <w:r w:rsidR="00F923F1">
        <w:rPr>
          <w:rFonts w:hint="cs"/>
          <w:rtl/>
        </w:rPr>
        <w:t>ی‌</w:t>
      </w:r>
      <w:r w:rsidR="00F923F1">
        <w:rPr>
          <w:rFonts w:hint="eastAsia"/>
          <w:rtl/>
        </w:rPr>
        <w:t>پوشانده</w:t>
      </w:r>
      <w:r w:rsidR="00F923F1">
        <w:rPr>
          <w:rtl/>
        </w:rPr>
        <w:t xml:space="preserve"> و به پوشاندن آن امر فرموده‌اند: "هکذا ففعل". نصوص مختلف د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گر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ن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ز</w:t>
      </w:r>
      <w:r w:rsidR="00F923F1">
        <w:rPr>
          <w:rtl/>
        </w:rPr>
        <w:t xml:space="preserve"> هم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ن</w:t>
      </w:r>
      <w:r w:rsidR="00F923F1">
        <w:rPr>
          <w:rtl/>
        </w:rPr>
        <w:t xml:space="preserve"> مطلب را تأ</w:t>
      </w:r>
      <w:r w:rsidR="00F923F1">
        <w:rPr>
          <w:rFonts w:hint="cs"/>
          <w:rtl/>
        </w:rPr>
        <w:t>یی</w:t>
      </w:r>
      <w:r w:rsidR="00F923F1">
        <w:rPr>
          <w:rFonts w:hint="eastAsia"/>
          <w:rtl/>
        </w:rPr>
        <w:t>د</w:t>
      </w:r>
      <w:r w:rsidR="00F923F1">
        <w:rPr>
          <w:rtl/>
        </w:rPr>
        <w:t xml:space="preserve"> م</w:t>
      </w:r>
      <w:r w:rsidR="00F923F1">
        <w:rPr>
          <w:rFonts w:hint="cs"/>
          <w:rtl/>
        </w:rPr>
        <w:t>ی‌</w:t>
      </w:r>
      <w:r w:rsidR="00F923F1">
        <w:rPr>
          <w:rFonts w:hint="eastAsia"/>
          <w:rtl/>
        </w:rPr>
        <w:t>کنند</w:t>
      </w:r>
      <w:r w:rsidR="00F923F1">
        <w:rPr>
          <w:rtl/>
        </w:rPr>
        <w:t>. شک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در تمام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ت</w:t>
      </w:r>
      <w:r w:rsidR="00F923F1">
        <w:rPr>
          <w:rtl/>
        </w:rPr>
        <w:t xml:space="preserve"> دلالت ا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ن</w:t>
      </w:r>
      <w:r w:rsidR="00F923F1">
        <w:rPr>
          <w:rtl/>
        </w:rPr>
        <w:t xml:space="preserve"> مجموعه از روا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ات</w:t>
      </w:r>
      <w:r w:rsidR="00F923F1">
        <w:rPr>
          <w:rtl/>
        </w:rPr>
        <w:t xml:space="preserve"> مستف</w:t>
      </w:r>
      <w:r w:rsidR="00F923F1">
        <w:rPr>
          <w:rFonts w:hint="cs"/>
          <w:rtl/>
        </w:rPr>
        <w:t>ی</w:t>
      </w:r>
      <w:r w:rsidR="00F923F1">
        <w:rPr>
          <w:rtl/>
        </w:rPr>
        <w:t>ضه (اعم از صح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ح</w:t>
      </w:r>
      <w:r w:rsidR="00F923F1">
        <w:rPr>
          <w:rtl/>
        </w:rPr>
        <w:t xml:space="preserve"> و غ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رصح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ح</w:t>
      </w:r>
      <w:r w:rsidR="00F923F1">
        <w:rPr>
          <w:rtl/>
        </w:rPr>
        <w:t xml:space="preserve"> که از ح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ث</w:t>
      </w:r>
      <w:r w:rsidR="00F923F1">
        <w:rPr>
          <w:rtl/>
        </w:rPr>
        <w:t xml:space="preserve"> مدلول 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کسانند</w:t>
      </w:r>
      <w:r w:rsidR="00F923F1">
        <w:rPr>
          <w:rtl/>
        </w:rPr>
        <w:t>) بر ا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ن</w:t>
      </w:r>
      <w:r w:rsidR="00F923F1">
        <w:rPr>
          <w:rtl/>
        </w:rPr>
        <w:t xml:space="preserve"> مطلب ن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ست</w:t>
      </w:r>
      <w:r w:rsidR="00F923F1">
        <w:rPr>
          <w:rtl/>
        </w:rPr>
        <w:t>.</w:t>
      </w:r>
    </w:p>
    <w:p w14:paraId="09D8C4A2" w14:textId="339FB6A1" w:rsidR="00F923F1" w:rsidRDefault="002F7623" w:rsidP="002F7623">
      <w:pPr>
        <w:ind w:firstLine="157"/>
        <w:rPr>
          <w:rtl/>
        </w:rPr>
      </w:pPr>
      <w:r>
        <w:rPr>
          <w:rFonts w:hint="cs"/>
          <w:rtl/>
        </w:rPr>
        <w:t xml:space="preserve">ایشان روایت حسین بن علوان را ضعیف می داند، </w:t>
      </w:r>
      <w:r w:rsidR="00F923F1">
        <w:rPr>
          <w:rtl/>
        </w:rPr>
        <w:t>در حال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که سند آن کاملاً واضح است. او به خبر مرو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در "قرب الاسناد للحم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ر</w:t>
      </w:r>
      <w:r w:rsidR="00F923F1">
        <w:rPr>
          <w:rFonts w:hint="cs"/>
          <w:rtl/>
        </w:rPr>
        <w:t>ی</w:t>
      </w:r>
      <w:r w:rsidR="00F923F1">
        <w:rPr>
          <w:rtl/>
        </w:rPr>
        <w:t>" اشاره م</w:t>
      </w:r>
      <w:r w:rsidR="00F923F1">
        <w:rPr>
          <w:rFonts w:hint="cs"/>
          <w:rtl/>
        </w:rPr>
        <w:t>ی‌</w:t>
      </w:r>
      <w:r w:rsidR="00F923F1">
        <w:rPr>
          <w:rFonts w:hint="eastAsia"/>
          <w:rtl/>
        </w:rPr>
        <w:t>کند</w:t>
      </w:r>
      <w:r w:rsidR="00F923F1">
        <w:rPr>
          <w:rtl/>
        </w:rPr>
        <w:t xml:space="preserve"> که همان موثقه "حس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ن</w:t>
      </w:r>
      <w:r w:rsidR="00F923F1">
        <w:rPr>
          <w:rtl/>
        </w:rPr>
        <w:t xml:space="preserve"> بن علوان" است و م</w:t>
      </w:r>
      <w:r w:rsidR="00F923F1">
        <w:rPr>
          <w:rFonts w:hint="cs"/>
          <w:rtl/>
        </w:rPr>
        <w:t>ی‌</w:t>
      </w:r>
      <w:r w:rsidR="00F923F1">
        <w:rPr>
          <w:rFonts w:hint="eastAsia"/>
          <w:rtl/>
        </w:rPr>
        <w:t>گو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د</w:t>
      </w:r>
      <w:r>
        <w:rPr>
          <w:rFonts w:hint="cs"/>
          <w:rtl/>
        </w:rPr>
        <w:t xml:space="preserve"> که این روایت ظاهر در این است که عورت کنیز را بیان می کند و ارتباطی با عورت مردان ندارد، </w:t>
      </w:r>
      <w:r w:rsidR="00F923F1">
        <w:rPr>
          <w:rtl/>
        </w:rPr>
        <w:t>ما عکس ا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ن</w:t>
      </w:r>
      <w:r w:rsidR="00F923F1">
        <w:rPr>
          <w:rtl/>
        </w:rPr>
        <w:t xml:space="preserve"> را م</w:t>
      </w:r>
      <w:r w:rsidR="00F923F1">
        <w:rPr>
          <w:rFonts w:hint="cs"/>
          <w:rtl/>
        </w:rPr>
        <w:t>ی‌</w:t>
      </w:r>
      <w:r w:rsidR="00F923F1">
        <w:rPr>
          <w:rFonts w:hint="eastAsia"/>
          <w:rtl/>
        </w:rPr>
        <w:t>گو</w:t>
      </w:r>
      <w:r w:rsidR="00F923F1">
        <w:rPr>
          <w:rFonts w:hint="cs"/>
          <w:rtl/>
        </w:rPr>
        <w:t>یی</w:t>
      </w:r>
      <w:r w:rsidR="00F923F1">
        <w:rPr>
          <w:rFonts w:hint="eastAsia"/>
          <w:rtl/>
        </w:rPr>
        <w:t>م؛</w:t>
      </w:r>
      <w:r w:rsidR="00F923F1">
        <w:rPr>
          <w:rtl/>
        </w:rPr>
        <w:t xml:space="preserve"> اتفاقاً نظر ا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شان</w:t>
      </w:r>
      <w:r w:rsidR="00F923F1">
        <w:rPr>
          <w:rtl/>
        </w:rPr>
        <w:t xml:space="preserve"> بع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د</w:t>
      </w:r>
      <w:r w:rsidR="00F923F1">
        <w:rPr>
          <w:rtl/>
        </w:rPr>
        <w:t xml:space="preserve"> است و اظهر همان است که در ب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ان</w:t>
      </w:r>
      <w:r w:rsidR="00F923F1">
        <w:rPr>
          <w:rtl/>
        </w:rPr>
        <w:t xml:space="preserve"> ما گذشت. مضافاً ا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نکه</w:t>
      </w:r>
      <w:r w:rsidR="00F923F1">
        <w:rPr>
          <w:rtl/>
        </w:rPr>
        <w:t xml:space="preserve"> نصوص د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گر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ن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ز</w:t>
      </w:r>
      <w:r w:rsidR="00F923F1">
        <w:rPr>
          <w:rtl/>
        </w:rPr>
        <w:t xml:space="preserve"> وجود دارد که ا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شان</w:t>
      </w:r>
      <w:r w:rsidR="00F923F1">
        <w:rPr>
          <w:rtl/>
        </w:rPr>
        <w:t xml:space="preserve"> به آن‌ها توجه نکرده است. در مجموع، دلالت ا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ن</w:t>
      </w:r>
      <w:r w:rsidR="00F923F1">
        <w:rPr>
          <w:rtl/>
        </w:rPr>
        <w:t xml:space="preserve"> نصوص روشن و بدون ترد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د</w:t>
      </w:r>
      <w:r w:rsidR="00F923F1">
        <w:rPr>
          <w:rtl/>
        </w:rPr>
        <w:t xml:space="preserve"> است.</w:t>
      </w:r>
    </w:p>
    <w:p w14:paraId="2F0195EA" w14:textId="77777777" w:rsidR="002F7623" w:rsidRDefault="00F923F1" w:rsidP="002F7623">
      <w:pPr>
        <w:ind w:firstLine="157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"فعل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"، 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کل</w:t>
      </w:r>
      <w:r>
        <w:rPr>
          <w:rFonts w:hint="cs"/>
          <w:rtl/>
        </w:rPr>
        <w:t>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مخصوص "امه"،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F7623">
        <w:rPr>
          <w:rFonts w:hint="cs"/>
          <w:rtl/>
        </w:rPr>
        <w:t xml:space="preserve"> حکم</w:t>
      </w:r>
      <w:r>
        <w:rPr>
          <w:rtl/>
        </w:rPr>
        <w:t xml:space="preserve"> مخالف</w:t>
      </w:r>
      <w:r w:rsidR="002F7623">
        <w:rPr>
          <w:rFonts w:hint="cs"/>
          <w:rtl/>
        </w:rPr>
        <w:t xml:space="preserve"> </w:t>
      </w:r>
      <w:r>
        <w:rPr>
          <w:rtl/>
        </w:rPr>
        <w:t>اجماع</w:t>
      </w:r>
      <w:r w:rsidR="002F7623">
        <w:rPr>
          <w:rFonts w:hint="cs"/>
          <w:rtl/>
        </w:rPr>
        <w:t xml:space="preserve"> و نصوص است، چون نص و اجماع اتفاق دارند که تمام بدن زن عورت است.</w:t>
      </w:r>
    </w:p>
    <w:p w14:paraId="77449EC2" w14:textId="28481305" w:rsidR="00F923F1" w:rsidRDefault="002F7623" w:rsidP="002F7623">
      <w:pPr>
        <w:ind w:firstLine="157"/>
        <w:rPr>
          <w:rtl/>
        </w:rPr>
      </w:pPr>
      <w:r w:rsidRPr="00ED0E63">
        <w:rPr>
          <w:rFonts w:hint="cs"/>
          <w:highlight w:val="yellow"/>
          <w:rtl/>
        </w:rPr>
        <w:t xml:space="preserve">عرض ما این است </w:t>
      </w:r>
      <w:r>
        <w:rPr>
          <w:rFonts w:hint="cs"/>
          <w:rtl/>
        </w:rPr>
        <w:t xml:space="preserve">که عورت بودنِ بدنِ زن، </w:t>
      </w:r>
      <w:r w:rsidR="00F923F1">
        <w:rPr>
          <w:rtl/>
        </w:rPr>
        <w:t>به ا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ن</w:t>
      </w:r>
      <w:r w:rsidR="00F923F1">
        <w:rPr>
          <w:rtl/>
        </w:rPr>
        <w:t xml:space="preserve"> معنا ن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ست</w:t>
      </w:r>
      <w:r w:rsidR="00F923F1">
        <w:rPr>
          <w:rtl/>
        </w:rPr>
        <w:t xml:space="preserve"> که تمام بدن زن "عورت" به معنا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اصطلاح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آن است، بلکه 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عن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"در حکم عورت" است. روا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ت</w:t>
      </w:r>
      <w:r w:rsidR="00F923F1">
        <w:rPr>
          <w:rtl/>
        </w:rPr>
        <w:t xml:space="preserve"> مورد بحث ما در مقام تحد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د</w:t>
      </w:r>
      <w:r w:rsidR="00F923F1">
        <w:rPr>
          <w:rtl/>
        </w:rPr>
        <w:t xml:space="preserve"> "عورت" به معنا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حق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ق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و لغو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آن است، 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عن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"ما هو المرتکز ف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اذهان اهل العرف". اما عبارت "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جب</w:t>
      </w:r>
      <w:r w:rsidR="00F923F1">
        <w:rPr>
          <w:rtl/>
        </w:rPr>
        <w:t xml:space="preserve"> عل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المرأة ستر عورتها" به معنا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لزوم پوشاندن کل بدن ن</w:t>
      </w:r>
      <w:r w:rsidR="00F923F1">
        <w:rPr>
          <w:rFonts w:hint="cs"/>
          <w:rtl/>
        </w:rPr>
        <w:t>ی</w:t>
      </w:r>
      <w:r w:rsidR="00F923F1">
        <w:rPr>
          <w:rFonts w:hint="eastAsia"/>
          <w:rtl/>
        </w:rPr>
        <w:t>ست،</w:t>
      </w:r>
      <w:r w:rsidR="00F923F1">
        <w:rPr>
          <w:rtl/>
        </w:rPr>
        <w:t xml:space="preserve"> بلکه مقصود همان "</w:t>
      </w:r>
      <w:r w:rsidR="00F923F1">
        <w:rPr>
          <w:rFonts w:hint="eastAsia"/>
          <w:rtl/>
        </w:rPr>
        <w:t>عورت</w:t>
      </w:r>
      <w:r w:rsidR="00F923F1">
        <w:rPr>
          <w:rtl/>
        </w:rPr>
        <w:t>" اصطلاح</w:t>
      </w:r>
      <w:r w:rsidR="00F923F1">
        <w:rPr>
          <w:rFonts w:hint="cs"/>
          <w:rtl/>
        </w:rPr>
        <w:t>ی</w:t>
      </w:r>
      <w:r w:rsidR="00F923F1">
        <w:rPr>
          <w:rtl/>
        </w:rPr>
        <w:t xml:space="preserve"> است.</w:t>
      </w:r>
    </w:p>
    <w:p w14:paraId="04B42845" w14:textId="77777777" w:rsidR="00ED0E63" w:rsidRDefault="00F923F1" w:rsidP="002F7623">
      <w:pPr>
        <w:ind w:firstLine="157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"عورت" به معنا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باب نماز، پوشاندن آن واجب است و مقصود، همان معنا</w:t>
      </w:r>
      <w:r>
        <w:rPr>
          <w:rFonts w:hint="cs"/>
          <w:rtl/>
        </w:rPr>
        <w:t>ی</w:t>
      </w:r>
      <w:r>
        <w:rPr>
          <w:rtl/>
        </w:rPr>
        <w:t xml:space="preserve"> خاص است.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"عورت" به معنا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کل بدن زن در حکم عورت است.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"بدن المرأة عورة"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مشعر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است، و الا واضح است که دست‌</w:t>
      </w:r>
      <w:r>
        <w:rPr>
          <w:rFonts w:hint="eastAsia"/>
          <w:rtl/>
        </w:rPr>
        <w:t>ها</w:t>
      </w:r>
      <w:r>
        <w:rPr>
          <w:rtl/>
        </w:rPr>
        <w:t xml:space="preserve"> و صورت، "عورت" به معنا</w:t>
      </w:r>
      <w:r>
        <w:rPr>
          <w:rFonts w:hint="cs"/>
          <w:rtl/>
        </w:rPr>
        <w:t>ی</w:t>
      </w:r>
      <w:r>
        <w:rPr>
          <w:rtl/>
        </w:rPr>
        <w:t xml:space="preserve"> اول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نظر حکم</w:t>
      </w:r>
      <w:r>
        <w:rPr>
          <w:rFonts w:hint="cs"/>
          <w:rtl/>
        </w:rPr>
        <w:t>ی</w:t>
      </w:r>
      <w:r>
        <w:rPr>
          <w:rtl/>
        </w:rPr>
        <w:t xml:space="preserve"> است، نه ناظر به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"عورت". </w:t>
      </w:r>
    </w:p>
    <w:p w14:paraId="66F7E483" w14:textId="0E799E89" w:rsidR="00F923F1" w:rsidRDefault="00F923F1" w:rsidP="002F7623">
      <w:pPr>
        <w:ind w:firstLine="157"/>
        <w:rPr>
          <w:rtl/>
        </w:rPr>
      </w:pP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با آن اجماع مخالفت</w:t>
      </w:r>
      <w:r>
        <w:rPr>
          <w:rFonts w:hint="cs"/>
          <w:rtl/>
        </w:rPr>
        <w:t>ی</w:t>
      </w:r>
      <w:r>
        <w:rPr>
          <w:rtl/>
        </w:rPr>
        <w:t xml:space="preserve"> ندارد.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اجماع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وجوب ستر کل بدن زن،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"عورت" به معنا</w:t>
      </w:r>
      <w:r>
        <w:rPr>
          <w:rFonts w:hint="cs"/>
          <w:rtl/>
        </w:rPr>
        <w:t>ی</w:t>
      </w:r>
      <w:r>
        <w:rPr>
          <w:rtl/>
        </w:rPr>
        <w:t xml:space="preserve"> خاص، </w:t>
      </w:r>
      <w:r w:rsidR="002F7623">
        <w:rPr>
          <w:rFonts w:hint="cs"/>
          <w:rtl/>
        </w:rPr>
        <w:t>ارتباطی</w:t>
      </w:r>
      <w:r>
        <w:rPr>
          <w:rtl/>
        </w:rPr>
        <w:t xml:space="preserve"> ندارد.</w:t>
      </w:r>
    </w:p>
    <w:p w14:paraId="5197B2C0" w14:textId="77777777" w:rsidR="00ED0E63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مجموع، شهرت</w:t>
      </w:r>
      <w:r>
        <w:rPr>
          <w:rFonts w:hint="cs"/>
          <w:rtl/>
        </w:rPr>
        <w:t>ی</w:t>
      </w:r>
      <w:r>
        <w:rPr>
          <w:rtl/>
        </w:rPr>
        <w:t xml:space="preserve"> که بر خلاف نظر ما وجود دارد، جابر ضعف 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دال بر رأ</w:t>
      </w:r>
      <w:r>
        <w:rPr>
          <w:rFonts w:hint="cs"/>
          <w:rtl/>
        </w:rPr>
        <w:t>ی</w:t>
      </w:r>
      <w:r>
        <w:rPr>
          <w:rtl/>
        </w:rPr>
        <w:t xml:space="preserve"> مشهور،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مرسل واسط</w:t>
      </w:r>
      <w:r>
        <w:rPr>
          <w:rFonts w:hint="cs"/>
          <w:rtl/>
        </w:rPr>
        <w:t>ی</w:t>
      </w:r>
      <w:r>
        <w:rPr>
          <w:rtl/>
        </w:rPr>
        <w:t xml:space="preserve"> و حسنه "محمد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" هستند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"ان الفخذ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العورة" در آن محل نقاش است. </w:t>
      </w:r>
    </w:p>
    <w:p w14:paraId="42020B09" w14:textId="43B1526E" w:rsidR="00F923F1" w:rsidRDefault="00F923F1" w:rsidP="00F923F1">
      <w:pPr>
        <w:ind w:firstLine="157"/>
        <w:rPr>
          <w:rtl/>
        </w:rPr>
      </w:pPr>
      <w:r>
        <w:rPr>
          <w:rtl/>
        </w:rPr>
        <w:t>تنها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باب، سندش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جبران 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فتوا</w:t>
      </w:r>
      <w:r>
        <w:rPr>
          <w:rFonts w:hint="cs"/>
          <w:rtl/>
        </w:rPr>
        <w:t>ی</w:t>
      </w:r>
      <w:r>
        <w:rPr>
          <w:rtl/>
        </w:rPr>
        <w:t xml:space="preserve"> مشهور تمسک کرد که قاعده انجبار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اعراض مشهور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 قادح در صحت سند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با نصوص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ضه‌ا</w:t>
      </w:r>
      <w:r>
        <w:rPr>
          <w:rFonts w:hint="cs"/>
          <w:rtl/>
        </w:rPr>
        <w:t>ی</w:t>
      </w:r>
      <w:r>
        <w:rPr>
          <w:rtl/>
        </w:rPr>
        <w:t xml:space="preserve"> مواجه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ظاهر واضح در گردش‌اند و حجت هستند. مضافاً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tl/>
        </w:rPr>
        <w:t>اط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پوشاندن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ناف و زانو است.</w:t>
      </w:r>
    </w:p>
    <w:p w14:paraId="15CD0A9D" w14:textId="77777777" w:rsidR="00F923F1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آنچه گفته شد، در فرض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مصل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عمداً در حال نماز،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ناف و زانو را مکشوف بگذارد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نمازش باطل است. اما در حالت سهو و غفلت، همان‌طور که قبلاً گذشت،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</w:t>
      </w:r>
    </w:p>
    <w:p w14:paraId="4E01EB37" w14:textId="557990B9" w:rsidR="00F923F1" w:rsidRDefault="00F923F1" w:rsidP="002F7623">
      <w:pPr>
        <w:ind w:firstLine="157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حالت اضطرار،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که شخص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لباس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پوشاندن ندارد، شارع فرموده است</w:t>
      </w:r>
      <w:r w:rsidR="002F7623">
        <w:rPr>
          <w:rFonts w:hint="cs"/>
          <w:rtl/>
        </w:rPr>
        <w:t xml:space="preserve"> که این شخص</w:t>
      </w:r>
      <w:r>
        <w:rPr>
          <w:rtl/>
        </w:rPr>
        <w:t xml:space="preserve"> با دست خود عورت را بپوشاند.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حال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کشف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ناف و زانو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باشد.</w:t>
      </w:r>
    </w:p>
    <w:p w14:paraId="6D7F6816" w14:textId="766B94B6" w:rsidR="002F7623" w:rsidRDefault="002F7623" w:rsidP="002F7623">
      <w:pPr>
        <w:ind w:firstLine="157"/>
        <w:rPr>
          <w:rtl/>
        </w:rPr>
      </w:pPr>
      <w:r w:rsidRPr="00ED0E63">
        <w:rPr>
          <w:rFonts w:hint="cs"/>
          <w:color w:val="FF0000"/>
          <w:rtl/>
        </w:rPr>
        <w:t>سوال:</w:t>
      </w:r>
      <w:r>
        <w:rPr>
          <w:rFonts w:hint="cs"/>
          <w:rtl/>
        </w:rPr>
        <w:t xml:space="preserve"> با توجه به اینکه حضرتعالی ما بین ناف تا زانو را عورت می دانید، </w:t>
      </w:r>
      <w:r>
        <w:rPr>
          <w:rtl/>
        </w:rPr>
        <w:t>اگر</w:t>
      </w:r>
      <w:r>
        <w:rPr>
          <w:rFonts w:hint="cs"/>
          <w:rtl/>
        </w:rPr>
        <w:t xml:space="preserve"> قسمت بالای زانوی</w:t>
      </w:r>
      <w:r>
        <w:rPr>
          <w:rtl/>
        </w:rPr>
        <w:t xml:space="preserve"> شلوار </w:t>
      </w:r>
      <w:r>
        <w:rPr>
          <w:rFonts w:hint="cs"/>
          <w:rtl/>
        </w:rPr>
        <w:t>نمازگزار</w:t>
      </w:r>
      <w:r>
        <w:rPr>
          <w:rtl/>
        </w:rPr>
        <w:t xml:space="preserve"> پاره باشد</w:t>
      </w:r>
      <w:r>
        <w:rPr>
          <w:rFonts w:hint="cs"/>
          <w:rtl/>
        </w:rPr>
        <w:t xml:space="preserve"> و مقداری از ران او معلوم شود، آیا نمازش باطل است؟</w:t>
      </w:r>
    </w:p>
    <w:p w14:paraId="1A923798" w14:textId="4E0D3ADE" w:rsidR="002F7623" w:rsidRDefault="002F7623" w:rsidP="002F7623">
      <w:pPr>
        <w:ind w:firstLine="157"/>
        <w:rPr>
          <w:rtl/>
        </w:rPr>
      </w:pPr>
      <w:r w:rsidRPr="00ED0E63">
        <w:rPr>
          <w:rFonts w:hint="cs"/>
          <w:color w:val="FF0000"/>
          <w:rtl/>
        </w:rPr>
        <w:t>جواب:</w:t>
      </w:r>
      <w:r>
        <w:rPr>
          <w:rFonts w:hint="cs"/>
          <w:rtl/>
        </w:rPr>
        <w:t xml:space="preserve"> اگر مقداری که آشکار شده، مربوط به قُبُل و دُبُر و حوالی آنها باشد نماز باطل است، ولی اگر دورتر باشد و عورت اصلی آشکار نشود ایراد ندارد. </w:t>
      </w:r>
    </w:p>
    <w:p w14:paraId="65CEBA09" w14:textId="77777777" w:rsidR="00ED0E63" w:rsidRDefault="00ED0E63" w:rsidP="00F923F1">
      <w:pPr>
        <w:ind w:firstLine="157"/>
        <w:rPr>
          <w:rtl/>
        </w:rPr>
      </w:pPr>
    </w:p>
    <w:p w14:paraId="527D3FE9" w14:textId="11167952" w:rsidR="009314F6" w:rsidRPr="009314F6" w:rsidRDefault="009314F6" w:rsidP="00F923F1">
      <w:pPr>
        <w:ind w:firstLine="157"/>
        <w:rPr>
          <w:color w:val="FF0000"/>
          <w:rtl/>
        </w:rPr>
      </w:pPr>
      <w:r w:rsidRPr="009314F6">
        <w:rPr>
          <w:color w:val="FF0000"/>
          <w:rtl/>
        </w:rPr>
        <w:lastRenderedPageBreak/>
        <w:t>وجوب پوشاندن تمام بدن برا</w:t>
      </w:r>
      <w:r w:rsidRPr="009314F6">
        <w:rPr>
          <w:rFonts w:hint="cs"/>
          <w:color w:val="FF0000"/>
          <w:rtl/>
        </w:rPr>
        <w:t>ی</w:t>
      </w:r>
      <w:r w:rsidRPr="009314F6">
        <w:rPr>
          <w:color w:val="FF0000"/>
          <w:rtl/>
        </w:rPr>
        <w:t xml:space="preserve"> زن در نماز</w:t>
      </w:r>
    </w:p>
    <w:p w14:paraId="27DE9B9D" w14:textId="77777777" w:rsidR="00ED0E63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وجوب پوشاندن تمام بدن برا</w:t>
      </w:r>
      <w:r>
        <w:rPr>
          <w:rFonts w:hint="cs"/>
          <w:rtl/>
        </w:rPr>
        <w:t>ی</w:t>
      </w:r>
      <w:r>
        <w:rPr>
          <w:rtl/>
        </w:rPr>
        <w:t xml:space="preserve"> زن در نماز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کل</w:t>
      </w:r>
      <w:r>
        <w:rPr>
          <w:rFonts w:hint="cs"/>
          <w:rtl/>
        </w:rPr>
        <w:t>ی</w:t>
      </w:r>
      <w:r>
        <w:rPr>
          <w:rtl/>
        </w:rPr>
        <w:t xml:space="preserve"> مورد اتفاق است. اما همان اصحاب</w:t>
      </w:r>
      <w:r>
        <w:rPr>
          <w:rFonts w:hint="cs"/>
          <w:rtl/>
        </w:rPr>
        <w:t>ی</w:t>
      </w:r>
      <w:r>
        <w:rPr>
          <w:rtl/>
        </w:rPr>
        <w:t xml:space="preserve">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اجماع کرده‌اند، مشهورشان "وجه و 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" را استثنا کرده‌اند. در کتاب "مدارک" آمده است:</w:t>
      </w:r>
    </w:p>
    <w:p w14:paraId="0ADEEC0A" w14:textId="6AC39B79" w:rsidR="00ED0E63" w:rsidRPr="00ED0E63" w:rsidRDefault="00ED0E63" w:rsidP="00ED0E63">
      <w:pPr>
        <w:rPr>
          <w:color w:val="000080"/>
          <w:rtl/>
        </w:rPr>
      </w:pPr>
      <w:r w:rsidRPr="00ED0E63">
        <w:rPr>
          <w:rFonts w:hint="cs"/>
          <w:color w:val="000080"/>
          <w:rtl/>
        </w:rPr>
        <w:t>«اختلف الأصحاب فيما يجب ستره من المرأة في الصلاة، فذهب الأكثر و منهم الشيخ في النهاية و المبسوط إلى أنّ الواجب ستر جسدها كله عدا الوجه و الكفين و ظاهر القدمين. و قال في الاقتصاد: و أما المرأة الحرة فإنّ جميعها عورة يجب عليها ستره في الصلاة و لا تكشف غير الوجه فقط. و هذا يقتضي منع كشف اليدين و القدمين».</w:t>
      </w:r>
      <w:r>
        <w:rPr>
          <w:rStyle w:val="FootnoteReference"/>
          <w:color w:val="000080"/>
          <w:rtl/>
        </w:rPr>
        <w:footnoteReference w:id="5"/>
      </w:r>
    </w:p>
    <w:p w14:paraId="654520FB" w14:textId="4D4FBEB1" w:rsidR="00F923F1" w:rsidRDefault="00F923F1" w:rsidP="00F923F1">
      <w:pPr>
        <w:ind w:firstLine="157"/>
        <w:rPr>
          <w:rtl/>
        </w:rPr>
      </w:pPr>
      <w:r>
        <w:rPr>
          <w:rtl/>
        </w:rPr>
        <w:t>مقصود از "ظاهر 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"، رو</w:t>
      </w:r>
      <w:r>
        <w:rPr>
          <w:rFonts w:hint="cs"/>
          <w:rtl/>
        </w:rPr>
        <w:t>ی</w:t>
      </w:r>
      <w:r>
        <w:rPr>
          <w:rtl/>
        </w:rPr>
        <w:t xml:space="preserve"> پاست، از مفصل تا نوک انگشتان.</w:t>
      </w:r>
    </w:p>
    <w:p w14:paraId="6B4EAD4B" w14:textId="77777777" w:rsidR="00944B31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"حدائق"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است: </w:t>
      </w:r>
    </w:p>
    <w:p w14:paraId="51A1B272" w14:textId="415590C3" w:rsidR="00944B31" w:rsidRPr="00944B31" w:rsidRDefault="00944B31" w:rsidP="00944B31">
      <w:pPr>
        <w:rPr>
          <w:color w:val="000080"/>
        </w:rPr>
      </w:pPr>
      <w:r w:rsidRPr="00944B31">
        <w:rPr>
          <w:rFonts w:hint="cs"/>
          <w:color w:val="000080"/>
          <w:rtl/>
        </w:rPr>
        <w:t>«و اما المرأة فالمشهور في كلام الأصحاب ان بدن المرأة الحرة جميعه عورة عدا الوجه و الكفين و القدمين، و نقل في المختلف و الذكرى عن ابن الجنيد انه ساوى بين الرجل و المرأة في أن العورة انما هي القبل و الدبر، و ظاهر الشيخ في الاقتصاد و ابي الصلاح و ابن زهرة أن بدن المرأة كله عورة. قال في الاقتصاد: فأما المرأة الحرة فإن جميعها عورة يجب عليها ستره في الصلاة و لا تكشف عن غير الوجه فقط. و هذا يقتضي منع كشف غير الوجه من الكفين و القدمين باطنا و ظاهرا. و قال أبو الصلاح المرأة كلها عورة و أقل ما يجزئ الحرة البالغة درع سابغ الى القدمين و خمار. و هو يرجع الى ما ذكره في الاقتصاد. و قال ابن زهرة: و العورة الواجب سترها من النساء جميع أبدانهن إلا رؤوس المماليك منهن».</w:t>
      </w:r>
      <w:r w:rsidRPr="00944B31">
        <w:rPr>
          <w:rStyle w:val="FootnoteReference"/>
          <w:color w:val="000080"/>
        </w:rPr>
        <w:footnoteReference w:id="6"/>
      </w:r>
    </w:p>
    <w:p w14:paraId="69BEA723" w14:textId="698A69D4" w:rsidR="00F923F1" w:rsidRDefault="00F923F1" w:rsidP="00F923F1">
      <w:pPr>
        <w:ind w:firstLine="157"/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"ظاهر"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و "قدم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" را به طور مطلق ذکر کرده که شامل رو</w:t>
      </w:r>
      <w:r>
        <w:rPr>
          <w:rFonts w:hint="cs"/>
          <w:rtl/>
        </w:rPr>
        <w:t>ی</w:t>
      </w:r>
      <w:r>
        <w:rPr>
          <w:rtl/>
        </w:rPr>
        <w:t xml:space="preserve"> پا و کف پا هر دو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05294342" w14:textId="77777777" w:rsidR="00F923F1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مخالفان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دارند. "ابن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"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و مرد تفاوت</w:t>
      </w:r>
      <w:r>
        <w:rPr>
          <w:rFonts w:hint="cs"/>
          <w:rtl/>
        </w:rPr>
        <w:t>ی</w:t>
      </w:r>
      <w:r>
        <w:rPr>
          <w:rtl/>
        </w:rPr>
        <w:t xml:space="preserve"> قائل نشده و عورت را فقط قبل و دبر دانسته است.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اقتصاد"، "اب</w:t>
      </w:r>
      <w:r>
        <w:rPr>
          <w:rFonts w:hint="cs"/>
          <w:rtl/>
        </w:rPr>
        <w:t>ی</w:t>
      </w:r>
      <w:r>
        <w:rPr>
          <w:rtl/>
        </w:rPr>
        <w:t xml:space="preserve"> الصلاح" و "ابن زهره"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 بدن زن را عورت دانسته‌اند و فقط وجه را استثنا کرده‌اند. پس مخالفان مشهور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اختلاف نظر دارن</w:t>
      </w:r>
      <w:r>
        <w:rPr>
          <w:rFonts w:hint="eastAsia"/>
          <w:rtl/>
        </w:rPr>
        <w:t>د</w:t>
      </w:r>
      <w:r>
        <w:rPr>
          <w:rtl/>
        </w:rPr>
        <w:t>. در "ر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قول مشهور مبن</w:t>
      </w:r>
      <w:r>
        <w:rPr>
          <w:rFonts w:hint="cs"/>
          <w:rtl/>
        </w:rPr>
        <w:t>ی</w:t>
      </w:r>
      <w:r>
        <w:rPr>
          <w:rtl/>
        </w:rPr>
        <w:t xml:space="preserve"> بر استثنا</w:t>
      </w:r>
      <w:r>
        <w:rPr>
          <w:rFonts w:hint="cs"/>
          <w:rtl/>
        </w:rPr>
        <w:t>ی</w:t>
      </w:r>
      <w:r>
        <w:rPr>
          <w:rtl/>
        </w:rPr>
        <w:t xml:space="preserve"> "وجه و 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"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خلاف</w:t>
      </w:r>
      <w:r>
        <w:rPr>
          <w:rFonts w:hint="cs"/>
          <w:rtl/>
        </w:rPr>
        <w:t>ی</w:t>
      </w:r>
      <w:r>
        <w:rPr>
          <w:rtl/>
        </w:rPr>
        <w:t xml:space="preserve"> نقل شده است.</w:t>
      </w:r>
    </w:p>
    <w:p w14:paraId="7E0AE738" w14:textId="77777777" w:rsidR="00944B31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"جواهر" پس از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اجماع بر وجوب پوشاندن تمام بدن زن، استثنا</w:t>
      </w:r>
      <w:r>
        <w:rPr>
          <w:rFonts w:hint="cs"/>
          <w:rtl/>
        </w:rPr>
        <w:t>ی</w:t>
      </w:r>
      <w:r>
        <w:rPr>
          <w:rtl/>
        </w:rPr>
        <w:t xml:space="preserve"> مذکور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است. عبارت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</w:t>
      </w:r>
    </w:p>
    <w:p w14:paraId="3F0928D9" w14:textId="5076269B" w:rsidR="00944B31" w:rsidRPr="00944B31" w:rsidRDefault="00944B31" w:rsidP="00944B31">
      <w:pPr>
        <w:rPr>
          <w:color w:val="000080"/>
          <w:rtl/>
        </w:rPr>
      </w:pPr>
      <w:r w:rsidRPr="00944B31">
        <w:rPr>
          <w:rFonts w:hint="cs"/>
          <w:color w:val="000080"/>
          <w:rtl/>
        </w:rPr>
        <w:lastRenderedPageBreak/>
        <w:t xml:space="preserve">«أما الوجه فللأصل بناء على ما ذكرنا، و لاستثنائه في معاقد الإجماعات السابقة، و خصوص إجماع الذكرى و الروض و التنقيح المتقدمة آنفا، و للسيرة القطعية ... </w:t>
      </w:r>
    </w:p>
    <w:p w14:paraId="32F3D8DF" w14:textId="1AF28AB7" w:rsidR="00944B31" w:rsidRPr="00944B31" w:rsidRDefault="00944B31" w:rsidP="00944B31">
      <w:pPr>
        <w:rPr>
          <w:color w:val="000080"/>
          <w:rtl/>
        </w:rPr>
      </w:pPr>
      <w:r w:rsidRPr="00944B31">
        <w:rPr>
          <w:rFonts w:hint="cs"/>
          <w:color w:val="000080"/>
          <w:rtl/>
        </w:rPr>
        <w:t>و أما الكفان فعندنا كما في المختلف لا يجب ستر هما في الصلاة، بل عن المعتبر و المنتهى نسبته إلى علمائنا، بل في التذكرة و جامع المقاصد و عن الروض الإجماع صريحا عليه، بل في الذكرى إجماع العلماء إلا أحمد و داود، و هو الحجة في تخصيص ما دل على عورية بدن المرأة كله إن كان، و إلا كان هو مع الأصل الحجة على ذلك ...</w:t>
      </w:r>
    </w:p>
    <w:p w14:paraId="0804A440" w14:textId="5FB3E418" w:rsidR="00944B31" w:rsidRPr="00944B31" w:rsidRDefault="00944B31" w:rsidP="00944B31">
      <w:pPr>
        <w:rPr>
          <w:color w:val="000080"/>
        </w:rPr>
      </w:pPr>
      <w:r w:rsidRPr="00944B31">
        <w:rPr>
          <w:rFonts w:hint="cs"/>
          <w:color w:val="000080"/>
          <w:rtl/>
        </w:rPr>
        <w:t>و أما القدمان فالمشهور بين الأصحاب نقلا و تحصيلا ذلك أيضا من غير فرق بين ظاهر هما و باطنهما كما صرح به الشهيدان و المحقق الثاني، بل لعل الاقتصار على الظهر في القواعد و التحرير و البيان و المحكي عن المبسوط و الإصباح و الجامع و غيرها لا لوجوب ستر الباطن كما ظن باعتبار استتاره غالبا بالأرض أو الثياب، فلا حاجة إلى كشفه، بل لأنه مفروغ منه و لو للسيرة القطعية على عدمه».</w:t>
      </w:r>
      <w:r>
        <w:rPr>
          <w:rStyle w:val="FootnoteReference"/>
          <w:color w:val="000080"/>
        </w:rPr>
        <w:footnoteReference w:id="7"/>
      </w:r>
    </w:p>
    <w:p w14:paraId="4B5503F0" w14:textId="276198D0" w:rsidR="00F923F1" w:rsidRDefault="00F923F1" w:rsidP="00635714">
      <w:pPr>
        <w:ind w:firstLine="157"/>
        <w:rPr>
          <w:rtl/>
        </w:rPr>
      </w:pPr>
      <w:r>
        <w:rPr>
          <w:rtl/>
        </w:rPr>
        <w:t>مقصود از "اصل" در کلام صاحب "جواهر"، اطلاق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635714">
        <w:rPr>
          <w:rFonts w:hint="cs"/>
          <w:rtl/>
        </w:rPr>
        <w:t xml:space="preserve"> </w:t>
      </w:r>
      <w:r w:rsidR="00635714">
        <w:rPr>
          <w:rFonts w:ascii="Times New Roman" w:hAnsi="Times New Roman" w:cs="Times New Roman"/>
          <w:color w:val="007200"/>
          <w:rtl/>
        </w:rPr>
        <w:t>﴿وَ لا يُبْدينَ زينَتَهُنَّ إِلّا ما ظَهَرَ مِنْها﴾</w:t>
      </w:r>
      <w:r w:rsidR="00635714">
        <w:rPr>
          <w:rStyle w:val="FootnoteReference"/>
          <w:rFonts w:ascii="Times New Roman" w:hAnsi="Times New Roman" w:cs="Times New Roman"/>
          <w:color w:val="007200"/>
          <w:rtl/>
        </w:rPr>
        <w:footnoteReference w:id="8"/>
      </w:r>
      <w:r w:rsidR="00635714">
        <w:rPr>
          <w:rFonts w:ascii="Times New Roman" w:hAnsi="Times New Roman" w:cs="Times New Roman" w:hint="cs"/>
          <w:color w:val="007200"/>
          <w:rtl/>
        </w:rPr>
        <w:t xml:space="preserve"> </w:t>
      </w:r>
      <w:r>
        <w:rPr>
          <w:rtl/>
        </w:rPr>
        <w:t>است. قدر 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از "ما </w:t>
      </w:r>
      <w:r>
        <w:rPr>
          <w:rFonts w:hint="eastAsia"/>
          <w:rtl/>
        </w:rPr>
        <w:t>ظهر</w:t>
      </w:r>
      <w:r>
        <w:rPr>
          <w:rtl/>
        </w:rPr>
        <w:t xml:space="preserve"> منها"، وجه است. به قول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"،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متشرعه و زنان عف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زمان نزول وح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در معاملات و تعاملات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صورت خود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پوشانده‌اند</w:t>
      </w:r>
      <w:r>
        <w:rPr>
          <w:rtl/>
        </w:rPr>
        <w:t>. ظهور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تابع عرف زمان نزول است.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مانند "ابداء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>" و "ما ظهر منها"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بلکه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عرف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و مرجع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مصداق آن‌ها، عرف همان زمان است. بر اساس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زنان مسلمان در آن عصر، صورت و دست‌ها (کف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از مواضع</w:t>
      </w:r>
      <w:r>
        <w:rPr>
          <w:rFonts w:hint="cs"/>
          <w:rtl/>
        </w:rPr>
        <w:t>ی</w:t>
      </w:r>
      <w:r>
        <w:rPr>
          <w:rtl/>
        </w:rPr>
        <w:t xml:space="preserve"> بوده که به طور معمول آشکار بوده و آن‌ها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پوشانده‌اند</w:t>
      </w:r>
      <w:r>
        <w:rPr>
          <w:rtl/>
        </w:rPr>
        <w:t>. لذا "ما ظهر منها" به قدر 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شامل وجه و 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EFA3AE8" w14:textId="77777777" w:rsidR="00F923F1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"قدم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" (پاها از مچ 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>)، اگر ثابت شود که عادت زنان در آن زمان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نپوشاندن پاها بوده (که با توجه به عدم رواج جوراب، امر</w:t>
      </w:r>
      <w:r>
        <w:rPr>
          <w:rFonts w:hint="cs"/>
          <w:rtl/>
        </w:rPr>
        <w:t>ی</w:t>
      </w:r>
      <w:r>
        <w:rPr>
          <w:rtl/>
        </w:rPr>
        <w:t xml:space="preserve"> محتمل است)،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داخل در اطلاق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اما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شک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نماز، اصل برائت از وجوب پوشاندن جار</w:t>
      </w:r>
      <w:r>
        <w:rPr>
          <w:rFonts w:hint="cs"/>
          <w:rtl/>
        </w:rPr>
        <w:t>ی</w:t>
      </w:r>
      <w:r>
        <w:rPr>
          <w:rtl/>
        </w:rPr>
        <w:t xml:space="preserve"> است، اما در داخل نماز، قاعده اشتغال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ستر از اجزاء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نماز و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اقل و اکثر ارتباط</w:t>
      </w:r>
      <w:r>
        <w:rPr>
          <w:rFonts w:hint="cs"/>
          <w:rtl/>
        </w:rPr>
        <w:t>ی</w:t>
      </w:r>
      <w:r>
        <w:rPr>
          <w:rtl/>
        </w:rPr>
        <w:t xml:space="preserve"> است. البته صاحب "جواهر"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باشد که در شک در شرط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اصل برائت را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</w:t>
      </w:r>
    </w:p>
    <w:p w14:paraId="231E1B4C" w14:textId="77777777" w:rsidR="00F923F1" w:rsidRDefault="00F923F1" w:rsidP="00F923F1">
      <w:pPr>
        <w:ind w:firstLine="157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با وجود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اجتهاد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اطلاق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نوبت به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(نه اشتغال و نه برائت)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14:paraId="79A41674" w14:textId="2942DF33" w:rsidR="00F923F1" w:rsidRDefault="00F923F1" w:rsidP="00F923F1">
      <w:pPr>
        <w:ind w:firstLine="157"/>
        <w:rPr>
          <w:rtl/>
        </w:rPr>
      </w:pPr>
      <w:r>
        <w:rPr>
          <w:rFonts w:hint="eastAsia"/>
          <w:rtl/>
        </w:rPr>
        <w:lastRenderedPageBreak/>
        <w:t>صاحب</w:t>
      </w:r>
      <w:r>
        <w:rPr>
          <w:rtl/>
        </w:rPr>
        <w:t xml:space="preserve"> "جواهر" علاوه بر </w:t>
      </w:r>
      <w:r w:rsidR="00635714">
        <w:rPr>
          <w:rtl/>
        </w:rPr>
        <w:t>"اصل"، به اجماعات منقول از "ذکر</w:t>
      </w:r>
      <w:r w:rsidR="00635714">
        <w:rPr>
          <w:rFonts w:hint="cs"/>
          <w:rtl/>
        </w:rPr>
        <w:t>ی</w:t>
      </w:r>
      <w:r>
        <w:rPr>
          <w:rtl/>
        </w:rPr>
        <w:t>"، "روض" و "تنق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استناد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اجماعات، با توجه به وجود مخالف، اجماع تعبد</w:t>
      </w:r>
      <w:r>
        <w:rPr>
          <w:rFonts w:hint="cs"/>
          <w:rtl/>
        </w:rPr>
        <w:t>ی</w:t>
      </w:r>
      <w:r>
        <w:rPr>
          <w:rtl/>
        </w:rPr>
        <w:t xml:space="preserve"> کاشف از رأ</w:t>
      </w:r>
      <w:r>
        <w:rPr>
          <w:rFonts w:hint="cs"/>
          <w:rtl/>
        </w:rPr>
        <w:t>ی</w:t>
      </w:r>
      <w:r>
        <w:rPr>
          <w:rtl/>
        </w:rPr>
        <w:t xml:space="preserve"> معصوم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حداکثر شهرت عظ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را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14:paraId="04254B5D" w14:textId="04EC6C1C" w:rsidR="00F923F1" w:rsidRDefault="00F923F1" w:rsidP="00635714">
      <w:pPr>
        <w:ind w:firstLine="157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ادامه،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اجماع را در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عمومات</w:t>
      </w:r>
      <w:r>
        <w:rPr>
          <w:rFonts w:hint="cs"/>
          <w:rtl/>
        </w:rPr>
        <w:t>ی</w:t>
      </w:r>
      <w:r>
        <w:rPr>
          <w:rtl/>
        </w:rPr>
        <w:t xml:space="preserve"> که دلالت بر وجوب پوشش کل بدن دارند،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"وهو الحجة ف</w:t>
      </w:r>
      <w:r>
        <w:rPr>
          <w:rFonts w:hint="cs"/>
          <w:rtl/>
        </w:rPr>
        <w:t>ی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ما دل عل</w:t>
      </w:r>
      <w:r>
        <w:rPr>
          <w:rFonts w:hint="cs"/>
          <w:rtl/>
        </w:rPr>
        <w:t>ی</w:t>
      </w:r>
      <w:r w:rsidR="00635714">
        <w:rPr>
          <w:rtl/>
        </w:rPr>
        <w:t xml:space="preserve"> ع</w:t>
      </w:r>
      <w:r>
        <w:rPr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بدن</w:t>
      </w:r>
      <w:r w:rsidR="00635714">
        <w:rPr>
          <w:rFonts w:hint="cs"/>
          <w:rtl/>
        </w:rPr>
        <w:t xml:space="preserve"> المرأة</w:t>
      </w:r>
      <w:r>
        <w:rPr>
          <w:rtl/>
        </w:rPr>
        <w:t xml:space="preserve"> کله إن کان". عبارت "إن کان"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عموم مطلق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دارد. "و إلا کان هو مع الأ</w:t>
      </w:r>
      <w:r>
        <w:rPr>
          <w:rFonts w:hint="eastAsia"/>
          <w:rtl/>
        </w:rPr>
        <w:t>صل</w:t>
      </w:r>
      <w:r>
        <w:rPr>
          <w:rtl/>
        </w:rPr>
        <w:t xml:space="preserve"> الحجة عل</w:t>
      </w:r>
      <w:r>
        <w:rPr>
          <w:rFonts w:hint="cs"/>
          <w:rtl/>
        </w:rPr>
        <w:t>ی</w:t>
      </w:r>
      <w:r>
        <w:rPr>
          <w:rtl/>
        </w:rPr>
        <w:t xml:space="preserve"> ذلک".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عموم قاطع</w:t>
      </w:r>
      <w:r>
        <w:rPr>
          <w:rFonts w:hint="cs"/>
          <w:rtl/>
        </w:rPr>
        <w:t>ی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 w:rsidR="00635714">
        <w:rPr>
          <w:rFonts w:hint="cs"/>
          <w:rtl/>
        </w:rPr>
        <w:t>نوبت به اصل که در اینجا برائت است می رسد.</w:t>
      </w:r>
    </w:p>
    <w:sectPr w:rsidR="00F923F1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CE0ED" w14:textId="77777777" w:rsidR="008D6DFF" w:rsidRDefault="008D6DFF" w:rsidP="00DB25E6">
      <w:pPr>
        <w:spacing w:after="0" w:line="240" w:lineRule="auto"/>
      </w:pPr>
      <w:r>
        <w:separator/>
      </w:r>
    </w:p>
  </w:endnote>
  <w:endnote w:type="continuationSeparator" w:id="0">
    <w:p w14:paraId="52EB791A" w14:textId="77777777" w:rsidR="008D6DFF" w:rsidRDefault="008D6DFF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pitch w:val="variable"/>
    <w:sig w:usb0="E1002EFF" w:usb1="C000605B" w:usb2="00000029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="003C6D79" w:rsidRPr="003C6D79">
                                  <w:rPr>
                                    <w:noProof/>
                                    <w:sz w:val="16"/>
                                    <w:szCs w:val="16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="003C6D79" w:rsidRPr="003C6D79">
                            <w:rPr>
                              <w:noProof/>
                              <w:sz w:val="16"/>
                              <w:szCs w:val="16"/>
                              <w:rtl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7AD0F" w14:textId="77777777" w:rsidR="008D6DFF" w:rsidRDefault="008D6DFF" w:rsidP="00DB25E6">
      <w:pPr>
        <w:spacing w:after="0" w:line="240" w:lineRule="auto"/>
      </w:pPr>
      <w:r>
        <w:separator/>
      </w:r>
    </w:p>
  </w:footnote>
  <w:footnote w:type="continuationSeparator" w:id="0">
    <w:p w14:paraId="2B6D6ADF" w14:textId="77777777" w:rsidR="008D6DFF" w:rsidRDefault="008D6DFF" w:rsidP="00DB25E6">
      <w:pPr>
        <w:spacing w:after="0" w:line="240" w:lineRule="auto"/>
      </w:pPr>
      <w:r>
        <w:continuationSeparator/>
      </w:r>
    </w:p>
  </w:footnote>
  <w:footnote w:id="1">
    <w:p w14:paraId="5D110FD5" w14:textId="595C042A" w:rsidR="00722385" w:rsidRPr="00722385" w:rsidRDefault="00722385" w:rsidP="00722385">
      <w:pPr>
        <w:pStyle w:val="FootnoteText"/>
        <w:rPr>
          <w:rtl/>
        </w:rPr>
      </w:pPr>
      <w:r w:rsidRPr="00722385">
        <w:footnoteRef/>
      </w:r>
      <w:r w:rsidRPr="00722385">
        <w:rPr>
          <w:rtl/>
        </w:rPr>
        <w:t xml:space="preserve"> </w:t>
      </w:r>
      <w:hyperlink r:id="rId1" w:history="1">
        <w:r w:rsidRPr="00722385">
          <w:rPr>
            <w:rStyle w:val="Hyperlink"/>
            <w:rFonts w:hint="cs"/>
            <w:rtl/>
          </w:rPr>
          <w:t>الصحاح‌</w:t>
        </w:r>
        <w:r w:rsidRPr="00722385">
          <w:rPr>
            <w:rStyle w:val="Hyperlink"/>
            <w:rtl/>
          </w:rPr>
          <w:t xml:space="preserve"> </w:t>
        </w:r>
        <w:r w:rsidRPr="00722385">
          <w:rPr>
            <w:rStyle w:val="Hyperlink"/>
            <w:rFonts w:hint="cs"/>
            <w:rtl/>
          </w:rPr>
          <w:t>تاج</w:t>
        </w:r>
        <w:r w:rsidRPr="00722385">
          <w:rPr>
            <w:rStyle w:val="Hyperlink"/>
            <w:rtl/>
          </w:rPr>
          <w:t xml:space="preserve"> </w:t>
        </w:r>
        <w:r w:rsidRPr="00722385">
          <w:rPr>
            <w:rStyle w:val="Hyperlink"/>
            <w:rFonts w:hint="cs"/>
            <w:rtl/>
          </w:rPr>
          <w:t>اللغة</w:t>
        </w:r>
        <w:r w:rsidRPr="00722385">
          <w:rPr>
            <w:rStyle w:val="Hyperlink"/>
            <w:rtl/>
          </w:rPr>
          <w:t xml:space="preserve"> </w:t>
        </w:r>
        <w:r w:rsidRPr="00722385">
          <w:rPr>
            <w:rStyle w:val="Hyperlink"/>
            <w:rFonts w:hint="cs"/>
            <w:rtl/>
          </w:rPr>
          <w:t>و</w:t>
        </w:r>
        <w:r w:rsidRPr="00722385">
          <w:rPr>
            <w:rStyle w:val="Hyperlink"/>
            <w:rtl/>
          </w:rPr>
          <w:t xml:space="preserve"> </w:t>
        </w:r>
        <w:r w:rsidRPr="00722385">
          <w:rPr>
            <w:rStyle w:val="Hyperlink"/>
            <w:rFonts w:hint="cs"/>
            <w:rtl/>
          </w:rPr>
          <w:t>صحاح</w:t>
        </w:r>
        <w:r w:rsidRPr="00722385">
          <w:rPr>
            <w:rStyle w:val="Hyperlink"/>
            <w:rtl/>
          </w:rPr>
          <w:t xml:space="preserve"> </w:t>
        </w:r>
        <w:r w:rsidRPr="00722385">
          <w:rPr>
            <w:rStyle w:val="Hyperlink"/>
            <w:rFonts w:hint="cs"/>
            <w:rtl/>
          </w:rPr>
          <w:t>العربية‌‌،</w:t>
        </w:r>
        <w:r w:rsidRPr="00722385">
          <w:rPr>
            <w:rStyle w:val="Hyperlink"/>
            <w:rtl/>
          </w:rPr>
          <w:t xml:space="preserve"> </w:t>
        </w:r>
        <w:r w:rsidRPr="00722385">
          <w:rPr>
            <w:rStyle w:val="Hyperlink"/>
            <w:rFonts w:hint="cs"/>
            <w:rtl/>
          </w:rPr>
          <w:t>الجوهري،</w:t>
        </w:r>
        <w:r w:rsidRPr="00722385">
          <w:rPr>
            <w:rStyle w:val="Hyperlink"/>
            <w:rtl/>
          </w:rPr>
          <w:t xml:space="preserve"> </w:t>
        </w:r>
        <w:r w:rsidRPr="00722385">
          <w:rPr>
            <w:rStyle w:val="Hyperlink"/>
            <w:rFonts w:hint="cs"/>
            <w:rtl/>
          </w:rPr>
          <w:t>أبو</w:t>
        </w:r>
        <w:r w:rsidRPr="00722385">
          <w:rPr>
            <w:rStyle w:val="Hyperlink"/>
            <w:rtl/>
          </w:rPr>
          <w:t xml:space="preserve"> </w:t>
        </w:r>
        <w:r w:rsidRPr="00722385">
          <w:rPr>
            <w:rStyle w:val="Hyperlink"/>
            <w:rFonts w:hint="cs"/>
            <w:rtl/>
          </w:rPr>
          <w:t>نصر،</w:t>
        </w:r>
        <w:r w:rsidRPr="00722385">
          <w:rPr>
            <w:rStyle w:val="Hyperlink"/>
            <w:rtl/>
          </w:rPr>
          <w:t xml:space="preserve"> </w:t>
        </w:r>
        <w:r w:rsidRPr="00722385">
          <w:rPr>
            <w:rStyle w:val="Hyperlink"/>
            <w:rFonts w:hint="cs"/>
            <w:rtl/>
          </w:rPr>
          <w:t>ج</w:t>
        </w:r>
        <w:r w:rsidRPr="00722385">
          <w:rPr>
            <w:rStyle w:val="Hyperlink"/>
            <w:rtl/>
          </w:rPr>
          <w:t>6</w:t>
        </w:r>
        <w:r w:rsidRPr="00722385">
          <w:rPr>
            <w:rStyle w:val="Hyperlink"/>
            <w:rFonts w:hint="cs"/>
            <w:rtl/>
          </w:rPr>
          <w:t>،</w:t>
        </w:r>
        <w:r w:rsidRPr="00722385">
          <w:rPr>
            <w:rStyle w:val="Hyperlink"/>
            <w:rtl/>
          </w:rPr>
          <w:t xml:space="preserve"> </w:t>
        </w:r>
        <w:r w:rsidRPr="00722385">
          <w:rPr>
            <w:rStyle w:val="Hyperlink"/>
            <w:rFonts w:hint="cs"/>
            <w:rtl/>
          </w:rPr>
          <w:t>ص</w:t>
        </w:r>
        <w:r w:rsidRPr="00722385">
          <w:rPr>
            <w:rStyle w:val="Hyperlink"/>
            <w:rtl/>
          </w:rPr>
          <w:t>2415.</w:t>
        </w:r>
      </w:hyperlink>
    </w:p>
  </w:footnote>
  <w:footnote w:id="2">
    <w:p w14:paraId="125AE695" w14:textId="6582ABC0" w:rsidR="00E90C4F" w:rsidRPr="00E90C4F" w:rsidRDefault="00E90C4F" w:rsidP="00E90C4F">
      <w:pPr>
        <w:pStyle w:val="FootnoteText"/>
        <w:rPr>
          <w:rtl/>
        </w:rPr>
      </w:pPr>
      <w:r w:rsidRPr="00E90C4F">
        <w:footnoteRef/>
      </w:r>
      <w:r w:rsidRPr="00E90C4F">
        <w:rPr>
          <w:rtl/>
        </w:rPr>
        <w:t xml:space="preserve"> </w:t>
      </w:r>
      <w:hyperlink r:id="rId2" w:history="1">
        <w:r w:rsidRPr="00E90C4F">
          <w:rPr>
            <w:rStyle w:val="Hyperlink"/>
            <w:rFonts w:hint="cs"/>
            <w:rtl/>
          </w:rPr>
          <w:t>مختار</w:t>
        </w:r>
        <w:r w:rsidRPr="00E90C4F">
          <w:rPr>
            <w:rStyle w:val="Hyperlink"/>
            <w:rtl/>
          </w:rPr>
          <w:t xml:space="preserve"> </w:t>
        </w:r>
        <w:r w:rsidRPr="00E90C4F">
          <w:rPr>
            <w:rStyle w:val="Hyperlink"/>
            <w:rFonts w:hint="cs"/>
            <w:rtl/>
          </w:rPr>
          <w:t>الصحاح،</w:t>
        </w:r>
        <w:r w:rsidRPr="00E90C4F">
          <w:rPr>
            <w:rStyle w:val="Hyperlink"/>
            <w:rtl/>
          </w:rPr>
          <w:t xml:space="preserve"> </w:t>
        </w:r>
        <w:r w:rsidRPr="00E90C4F">
          <w:rPr>
            <w:rStyle w:val="Hyperlink"/>
            <w:rFonts w:hint="cs"/>
            <w:rtl/>
          </w:rPr>
          <w:t>الرازي،</w:t>
        </w:r>
        <w:r w:rsidRPr="00E90C4F">
          <w:rPr>
            <w:rStyle w:val="Hyperlink"/>
            <w:rtl/>
          </w:rPr>
          <w:t xml:space="preserve"> </w:t>
        </w:r>
        <w:r w:rsidRPr="00E90C4F">
          <w:rPr>
            <w:rStyle w:val="Hyperlink"/>
            <w:rFonts w:hint="cs"/>
            <w:rtl/>
          </w:rPr>
          <w:t>زين</w:t>
        </w:r>
        <w:r w:rsidRPr="00E90C4F">
          <w:rPr>
            <w:rStyle w:val="Hyperlink"/>
            <w:rtl/>
          </w:rPr>
          <w:t xml:space="preserve"> </w:t>
        </w:r>
        <w:r w:rsidRPr="00E90C4F">
          <w:rPr>
            <w:rStyle w:val="Hyperlink"/>
            <w:rFonts w:hint="cs"/>
            <w:rtl/>
          </w:rPr>
          <w:t>الدين،</w:t>
        </w:r>
        <w:r w:rsidRPr="00E90C4F">
          <w:rPr>
            <w:rStyle w:val="Hyperlink"/>
            <w:rtl/>
          </w:rPr>
          <w:t xml:space="preserve"> </w:t>
        </w:r>
        <w:r w:rsidRPr="00E90C4F">
          <w:rPr>
            <w:rStyle w:val="Hyperlink"/>
            <w:rFonts w:hint="cs"/>
            <w:rtl/>
          </w:rPr>
          <w:t>ج</w:t>
        </w:r>
        <w:r w:rsidRPr="00E90C4F">
          <w:rPr>
            <w:rStyle w:val="Hyperlink"/>
            <w:rtl/>
          </w:rPr>
          <w:t>1</w:t>
        </w:r>
        <w:r w:rsidRPr="00E90C4F">
          <w:rPr>
            <w:rStyle w:val="Hyperlink"/>
            <w:rFonts w:hint="cs"/>
            <w:rtl/>
          </w:rPr>
          <w:t>،</w:t>
        </w:r>
        <w:r w:rsidRPr="00E90C4F">
          <w:rPr>
            <w:rStyle w:val="Hyperlink"/>
            <w:rtl/>
          </w:rPr>
          <w:t xml:space="preserve"> </w:t>
        </w:r>
        <w:r w:rsidRPr="00E90C4F">
          <w:rPr>
            <w:rStyle w:val="Hyperlink"/>
            <w:rFonts w:hint="cs"/>
            <w:rtl/>
          </w:rPr>
          <w:t>ص</w:t>
        </w:r>
        <w:r w:rsidRPr="00E90C4F">
          <w:rPr>
            <w:rStyle w:val="Hyperlink"/>
            <w:rtl/>
          </w:rPr>
          <w:t>192.</w:t>
        </w:r>
      </w:hyperlink>
    </w:p>
  </w:footnote>
  <w:footnote w:id="3">
    <w:p w14:paraId="1A0C675E" w14:textId="7A6F19C6" w:rsidR="003F1983" w:rsidRPr="003F1983" w:rsidRDefault="003F1983" w:rsidP="00343725">
      <w:pPr>
        <w:pStyle w:val="FootnoteText"/>
      </w:pPr>
      <w:r w:rsidRPr="003F1983">
        <w:footnoteRef/>
      </w:r>
      <w:r w:rsidRPr="003F1983">
        <w:rPr>
          <w:rtl/>
        </w:rPr>
        <w:t xml:space="preserve"> </w:t>
      </w:r>
      <w:hyperlink r:id="rId3" w:history="1">
        <w:r w:rsidRPr="003F1983">
          <w:rPr>
            <w:rStyle w:val="Hyperlink"/>
            <w:rFonts w:hint="cs"/>
            <w:rtl/>
          </w:rPr>
          <w:t>المصباح</w:t>
        </w:r>
        <w:r w:rsidRPr="003F1983">
          <w:rPr>
            <w:rStyle w:val="Hyperlink"/>
            <w:rtl/>
          </w:rPr>
          <w:t xml:space="preserve"> </w:t>
        </w:r>
        <w:r w:rsidRPr="003F1983">
          <w:rPr>
            <w:rStyle w:val="Hyperlink"/>
            <w:rFonts w:hint="cs"/>
            <w:rtl/>
          </w:rPr>
          <w:t>المنير،</w:t>
        </w:r>
        <w:r w:rsidRPr="003F1983">
          <w:rPr>
            <w:rStyle w:val="Hyperlink"/>
            <w:rtl/>
          </w:rPr>
          <w:t xml:space="preserve"> </w:t>
        </w:r>
        <w:r w:rsidRPr="003F1983">
          <w:rPr>
            <w:rStyle w:val="Hyperlink"/>
            <w:rFonts w:hint="cs"/>
            <w:rtl/>
          </w:rPr>
          <w:t>القيومي</w:t>
        </w:r>
        <w:r w:rsidRPr="003F1983">
          <w:rPr>
            <w:rStyle w:val="Hyperlink"/>
            <w:rtl/>
          </w:rPr>
          <w:t xml:space="preserve"> </w:t>
        </w:r>
        <w:r w:rsidRPr="003F1983">
          <w:rPr>
            <w:rStyle w:val="Hyperlink"/>
            <w:rFonts w:hint="cs"/>
            <w:rtl/>
          </w:rPr>
          <w:t>المقرى،</w:t>
        </w:r>
        <w:r w:rsidRPr="003F1983">
          <w:rPr>
            <w:rStyle w:val="Hyperlink"/>
            <w:rtl/>
          </w:rPr>
          <w:t xml:space="preserve"> </w:t>
        </w:r>
        <w:r w:rsidRPr="003F1983">
          <w:rPr>
            <w:rStyle w:val="Hyperlink"/>
            <w:rFonts w:hint="cs"/>
            <w:rtl/>
          </w:rPr>
          <w:t>أحمد</w:t>
        </w:r>
        <w:r w:rsidRPr="003F1983">
          <w:rPr>
            <w:rStyle w:val="Hyperlink"/>
            <w:rtl/>
          </w:rPr>
          <w:t xml:space="preserve"> </w:t>
        </w:r>
        <w:r w:rsidRPr="003F1983">
          <w:rPr>
            <w:rStyle w:val="Hyperlink"/>
            <w:rFonts w:hint="cs"/>
            <w:rtl/>
          </w:rPr>
          <w:t>بن</w:t>
        </w:r>
        <w:r w:rsidRPr="003F1983">
          <w:rPr>
            <w:rStyle w:val="Hyperlink"/>
            <w:rtl/>
          </w:rPr>
          <w:t xml:space="preserve"> </w:t>
        </w:r>
        <w:r w:rsidRPr="003F1983">
          <w:rPr>
            <w:rStyle w:val="Hyperlink"/>
            <w:rFonts w:hint="cs"/>
            <w:rtl/>
          </w:rPr>
          <w:t>محمد</w:t>
        </w:r>
        <w:r w:rsidRPr="003F1983">
          <w:rPr>
            <w:rStyle w:val="Hyperlink"/>
            <w:rtl/>
          </w:rPr>
          <w:t xml:space="preserve"> </w:t>
        </w:r>
        <w:r w:rsidRPr="003F1983">
          <w:rPr>
            <w:rStyle w:val="Hyperlink"/>
            <w:rFonts w:hint="cs"/>
            <w:rtl/>
          </w:rPr>
          <w:t>بن</w:t>
        </w:r>
        <w:r w:rsidRPr="003F1983">
          <w:rPr>
            <w:rStyle w:val="Hyperlink"/>
            <w:rtl/>
          </w:rPr>
          <w:t xml:space="preserve"> </w:t>
        </w:r>
        <w:r w:rsidRPr="003F1983">
          <w:rPr>
            <w:rStyle w:val="Hyperlink"/>
            <w:rFonts w:hint="cs"/>
            <w:rtl/>
          </w:rPr>
          <w:t>علي،</w:t>
        </w:r>
        <w:r w:rsidRPr="003F1983">
          <w:rPr>
            <w:rStyle w:val="Hyperlink"/>
            <w:rtl/>
          </w:rPr>
          <w:t xml:space="preserve"> </w:t>
        </w:r>
        <w:r w:rsidRPr="003F1983">
          <w:rPr>
            <w:rStyle w:val="Hyperlink"/>
            <w:rFonts w:hint="cs"/>
            <w:rtl/>
          </w:rPr>
          <w:t>ج</w:t>
        </w:r>
        <w:r w:rsidR="00343725">
          <w:rPr>
            <w:rStyle w:val="Hyperlink"/>
            <w:rFonts w:hint="cs"/>
            <w:rtl/>
          </w:rPr>
          <w:t>1</w:t>
        </w:r>
        <w:r w:rsidRPr="003F1983">
          <w:rPr>
            <w:rStyle w:val="Hyperlink"/>
            <w:rFonts w:hint="cs"/>
            <w:rtl/>
          </w:rPr>
          <w:t>،</w:t>
        </w:r>
        <w:r w:rsidRPr="003F1983">
          <w:rPr>
            <w:rStyle w:val="Hyperlink"/>
            <w:rtl/>
          </w:rPr>
          <w:t xml:space="preserve"> </w:t>
        </w:r>
        <w:r w:rsidRPr="003F1983">
          <w:rPr>
            <w:rStyle w:val="Hyperlink"/>
            <w:rFonts w:hint="cs"/>
            <w:rtl/>
          </w:rPr>
          <w:t>ص</w:t>
        </w:r>
        <w:r w:rsidR="00343725">
          <w:rPr>
            <w:rStyle w:val="Hyperlink"/>
            <w:rFonts w:hint="cs"/>
            <w:rtl/>
          </w:rPr>
          <w:t>195</w:t>
        </w:r>
        <w:r w:rsidRPr="003F1983">
          <w:rPr>
            <w:rStyle w:val="Hyperlink"/>
            <w:rtl/>
          </w:rPr>
          <w:t>.</w:t>
        </w:r>
      </w:hyperlink>
    </w:p>
  </w:footnote>
  <w:footnote w:id="4">
    <w:p w14:paraId="2D76829D" w14:textId="52F7E78D" w:rsidR="00072ED3" w:rsidRPr="00072ED3" w:rsidRDefault="00072ED3" w:rsidP="00072ED3">
      <w:pPr>
        <w:pStyle w:val="FootnoteText"/>
        <w:rPr>
          <w:rtl/>
        </w:rPr>
      </w:pPr>
      <w:r w:rsidRPr="00072ED3">
        <w:footnoteRef/>
      </w:r>
      <w:r w:rsidRPr="00072ED3">
        <w:rPr>
          <w:rtl/>
        </w:rPr>
        <w:t xml:space="preserve"> </w:t>
      </w:r>
      <w:hyperlink r:id="rId4" w:history="1">
        <w:r w:rsidRPr="00072ED3">
          <w:rPr>
            <w:rStyle w:val="Hyperlink"/>
            <w:rFonts w:hint="cs"/>
            <w:rtl/>
          </w:rPr>
          <w:t>رياض</w:t>
        </w:r>
        <w:r w:rsidRPr="00072ED3">
          <w:rPr>
            <w:rStyle w:val="Hyperlink"/>
            <w:rtl/>
          </w:rPr>
          <w:t xml:space="preserve"> </w:t>
        </w:r>
        <w:r w:rsidRPr="00072ED3">
          <w:rPr>
            <w:rStyle w:val="Hyperlink"/>
            <w:rFonts w:hint="cs"/>
            <w:rtl/>
          </w:rPr>
          <w:t>المسائل</w:t>
        </w:r>
        <w:r w:rsidRPr="00072ED3">
          <w:rPr>
            <w:rStyle w:val="Hyperlink"/>
            <w:rtl/>
          </w:rPr>
          <w:t xml:space="preserve"> </w:t>
        </w:r>
        <w:r w:rsidRPr="00072ED3">
          <w:rPr>
            <w:rStyle w:val="Hyperlink"/>
            <w:rFonts w:hint="cs"/>
            <w:rtl/>
          </w:rPr>
          <w:t>في</w:t>
        </w:r>
        <w:r w:rsidRPr="00072ED3">
          <w:rPr>
            <w:rStyle w:val="Hyperlink"/>
            <w:rtl/>
          </w:rPr>
          <w:t xml:space="preserve"> </w:t>
        </w:r>
        <w:r w:rsidRPr="00072ED3">
          <w:rPr>
            <w:rStyle w:val="Hyperlink"/>
            <w:rFonts w:hint="cs"/>
            <w:rtl/>
          </w:rPr>
          <w:t>تحقيق</w:t>
        </w:r>
        <w:r w:rsidRPr="00072ED3">
          <w:rPr>
            <w:rStyle w:val="Hyperlink"/>
            <w:rtl/>
          </w:rPr>
          <w:t xml:space="preserve"> </w:t>
        </w:r>
        <w:r w:rsidRPr="00072ED3">
          <w:rPr>
            <w:rStyle w:val="Hyperlink"/>
            <w:rFonts w:hint="cs"/>
            <w:rtl/>
          </w:rPr>
          <w:t>الأحكام</w:t>
        </w:r>
        <w:r w:rsidRPr="00072ED3">
          <w:rPr>
            <w:rStyle w:val="Hyperlink"/>
            <w:rtl/>
          </w:rPr>
          <w:t xml:space="preserve"> </w:t>
        </w:r>
        <w:r w:rsidRPr="00072ED3">
          <w:rPr>
            <w:rStyle w:val="Hyperlink"/>
            <w:rFonts w:hint="cs"/>
            <w:rtl/>
          </w:rPr>
          <w:t>بالدّلائل،</w:t>
        </w:r>
        <w:r w:rsidRPr="00072ED3">
          <w:rPr>
            <w:rStyle w:val="Hyperlink"/>
            <w:rtl/>
          </w:rPr>
          <w:t xml:space="preserve"> </w:t>
        </w:r>
        <w:r w:rsidRPr="00072ED3">
          <w:rPr>
            <w:rStyle w:val="Hyperlink"/>
            <w:rFonts w:hint="cs"/>
            <w:rtl/>
          </w:rPr>
          <w:t>الطباطبائي،</w:t>
        </w:r>
        <w:r w:rsidRPr="00072ED3">
          <w:rPr>
            <w:rStyle w:val="Hyperlink"/>
            <w:rtl/>
          </w:rPr>
          <w:t xml:space="preserve"> </w:t>
        </w:r>
        <w:r w:rsidRPr="00072ED3">
          <w:rPr>
            <w:rStyle w:val="Hyperlink"/>
            <w:rFonts w:hint="cs"/>
            <w:rtl/>
          </w:rPr>
          <w:t>السيد</w:t>
        </w:r>
        <w:r w:rsidRPr="00072ED3">
          <w:rPr>
            <w:rStyle w:val="Hyperlink"/>
            <w:rtl/>
          </w:rPr>
          <w:t xml:space="preserve"> </w:t>
        </w:r>
        <w:r w:rsidRPr="00072ED3">
          <w:rPr>
            <w:rStyle w:val="Hyperlink"/>
            <w:rFonts w:hint="cs"/>
            <w:rtl/>
          </w:rPr>
          <w:t>علي،</w:t>
        </w:r>
        <w:r w:rsidRPr="00072ED3">
          <w:rPr>
            <w:rStyle w:val="Hyperlink"/>
            <w:rtl/>
          </w:rPr>
          <w:t xml:space="preserve"> </w:t>
        </w:r>
        <w:r w:rsidRPr="00072ED3">
          <w:rPr>
            <w:rStyle w:val="Hyperlink"/>
            <w:rFonts w:hint="cs"/>
            <w:rtl/>
          </w:rPr>
          <w:t>ج</w:t>
        </w:r>
        <w:r w:rsidRPr="00072ED3">
          <w:rPr>
            <w:rStyle w:val="Hyperlink"/>
            <w:rtl/>
          </w:rPr>
          <w:t>2</w:t>
        </w:r>
        <w:r w:rsidRPr="00072ED3">
          <w:rPr>
            <w:rStyle w:val="Hyperlink"/>
            <w:rFonts w:hint="cs"/>
            <w:rtl/>
          </w:rPr>
          <w:t>،</w:t>
        </w:r>
        <w:r w:rsidRPr="00072ED3">
          <w:rPr>
            <w:rStyle w:val="Hyperlink"/>
            <w:rtl/>
          </w:rPr>
          <w:t xml:space="preserve"> </w:t>
        </w:r>
        <w:r w:rsidRPr="00072ED3">
          <w:rPr>
            <w:rStyle w:val="Hyperlink"/>
            <w:rFonts w:hint="cs"/>
            <w:rtl/>
          </w:rPr>
          <w:t>ص</w:t>
        </w:r>
        <w:r w:rsidRPr="00072ED3">
          <w:rPr>
            <w:rStyle w:val="Hyperlink"/>
            <w:rtl/>
          </w:rPr>
          <w:t>376.</w:t>
        </w:r>
      </w:hyperlink>
    </w:p>
  </w:footnote>
  <w:footnote w:id="5">
    <w:p w14:paraId="6D306984" w14:textId="13E04846" w:rsidR="00ED0E63" w:rsidRPr="00ED0E63" w:rsidRDefault="00ED0E63" w:rsidP="00ED0E63">
      <w:pPr>
        <w:pStyle w:val="FootnoteText"/>
        <w:rPr>
          <w:rtl/>
        </w:rPr>
      </w:pPr>
      <w:r w:rsidRPr="00ED0E63">
        <w:footnoteRef/>
      </w:r>
      <w:r w:rsidRPr="00ED0E63">
        <w:rPr>
          <w:rtl/>
        </w:rPr>
        <w:t xml:space="preserve"> </w:t>
      </w:r>
      <w:hyperlink r:id="rId5" w:history="1">
        <w:r w:rsidRPr="00ED0E63">
          <w:rPr>
            <w:rStyle w:val="Hyperlink"/>
            <w:rFonts w:hint="cs"/>
            <w:rtl/>
          </w:rPr>
          <w:t>مدارك</w:t>
        </w:r>
        <w:r w:rsidRPr="00ED0E63">
          <w:rPr>
            <w:rStyle w:val="Hyperlink"/>
            <w:rtl/>
          </w:rPr>
          <w:t xml:space="preserve"> </w:t>
        </w:r>
        <w:r w:rsidRPr="00ED0E63">
          <w:rPr>
            <w:rStyle w:val="Hyperlink"/>
            <w:rFonts w:hint="cs"/>
            <w:rtl/>
          </w:rPr>
          <w:t>الأحكام،</w:t>
        </w:r>
        <w:r w:rsidRPr="00ED0E63">
          <w:rPr>
            <w:rStyle w:val="Hyperlink"/>
            <w:rtl/>
          </w:rPr>
          <w:t xml:space="preserve"> </w:t>
        </w:r>
        <w:r w:rsidRPr="00ED0E63">
          <w:rPr>
            <w:rStyle w:val="Hyperlink"/>
            <w:rFonts w:hint="cs"/>
            <w:rtl/>
          </w:rPr>
          <w:t>الموسوي</w:t>
        </w:r>
        <w:r w:rsidRPr="00ED0E63">
          <w:rPr>
            <w:rStyle w:val="Hyperlink"/>
            <w:rtl/>
          </w:rPr>
          <w:t xml:space="preserve"> </w:t>
        </w:r>
        <w:r w:rsidRPr="00ED0E63">
          <w:rPr>
            <w:rStyle w:val="Hyperlink"/>
            <w:rFonts w:hint="cs"/>
            <w:rtl/>
          </w:rPr>
          <w:t>العاملي،</w:t>
        </w:r>
        <w:r w:rsidRPr="00ED0E63">
          <w:rPr>
            <w:rStyle w:val="Hyperlink"/>
            <w:rtl/>
          </w:rPr>
          <w:t xml:space="preserve"> </w:t>
        </w:r>
        <w:r w:rsidRPr="00ED0E63">
          <w:rPr>
            <w:rStyle w:val="Hyperlink"/>
            <w:rFonts w:hint="cs"/>
            <w:rtl/>
          </w:rPr>
          <w:t>السيد</w:t>
        </w:r>
        <w:r w:rsidRPr="00ED0E63">
          <w:rPr>
            <w:rStyle w:val="Hyperlink"/>
            <w:rtl/>
          </w:rPr>
          <w:t xml:space="preserve"> </w:t>
        </w:r>
        <w:r w:rsidRPr="00ED0E63">
          <w:rPr>
            <w:rStyle w:val="Hyperlink"/>
            <w:rFonts w:hint="cs"/>
            <w:rtl/>
          </w:rPr>
          <w:t>محمد،</w:t>
        </w:r>
        <w:r w:rsidRPr="00ED0E63">
          <w:rPr>
            <w:rStyle w:val="Hyperlink"/>
            <w:rtl/>
          </w:rPr>
          <w:t xml:space="preserve"> </w:t>
        </w:r>
        <w:r w:rsidRPr="00ED0E63">
          <w:rPr>
            <w:rStyle w:val="Hyperlink"/>
            <w:rFonts w:hint="cs"/>
            <w:rtl/>
          </w:rPr>
          <w:t>ج</w:t>
        </w:r>
        <w:r w:rsidRPr="00ED0E63">
          <w:rPr>
            <w:rStyle w:val="Hyperlink"/>
            <w:rtl/>
          </w:rPr>
          <w:t>3</w:t>
        </w:r>
        <w:r w:rsidRPr="00ED0E63">
          <w:rPr>
            <w:rStyle w:val="Hyperlink"/>
            <w:rFonts w:hint="cs"/>
            <w:rtl/>
          </w:rPr>
          <w:t>،</w:t>
        </w:r>
        <w:r w:rsidRPr="00ED0E63">
          <w:rPr>
            <w:rStyle w:val="Hyperlink"/>
            <w:rtl/>
          </w:rPr>
          <w:t xml:space="preserve"> </w:t>
        </w:r>
        <w:r w:rsidRPr="00ED0E63">
          <w:rPr>
            <w:rStyle w:val="Hyperlink"/>
            <w:rFonts w:hint="cs"/>
            <w:rtl/>
          </w:rPr>
          <w:t>ص</w:t>
        </w:r>
        <w:r w:rsidRPr="00ED0E63">
          <w:rPr>
            <w:rStyle w:val="Hyperlink"/>
            <w:rtl/>
          </w:rPr>
          <w:t>188.</w:t>
        </w:r>
      </w:hyperlink>
    </w:p>
  </w:footnote>
  <w:footnote w:id="6">
    <w:p w14:paraId="0A9F65D4" w14:textId="5141D7EA" w:rsidR="00944B31" w:rsidRPr="00944B31" w:rsidRDefault="00944B31" w:rsidP="00944B31">
      <w:pPr>
        <w:pStyle w:val="FootnoteText"/>
        <w:rPr>
          <w:rtl/>
        </w:rPr>
      </w:pPr>
      <w:r w:rsidRPr="00944B31">
        <w:footnoteRef/>
      </w:r>
      <w:r w:rsidRPr="00944B31">
        <w:rPr>
          <w:rtl/>
        </w:rPr>
        <w:t xml:space="preserve"> </w:t>
      </w:r>
      <w:hyperlink r:id="rId6" w:history="1">
        <w:r w:rsidRPr="00944B31">
          <w:rPr>
            <w:rStyle w:val="Hyperlink"/>
            <w:rFonts w:hint="cs"/>
            <w:rtl/>
          </w:rPr>
          <w:t>الحدائق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الناضرة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في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أحكام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العترة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الطاهرة،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البحراني،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الشيخ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يوسف،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ج</w:t>
        </w:r>
        <w:r w:rsidRPr="00944B31">
          <w:rPr>
            <w:rStyle w:val="Hyperlink"/>
            <w:rtl/>
          </w:rPr>
          <w:t>7</w:t>
        </w:r>
        <w:r w:rsidRPr="00944B31">
          <w:rPr>
            <w:rStyle w:val="Hyperlink"/>
            <w:rFonts w:hint="cs"/>
            <w:rtl/>
          </w:rPr>
          <w:t>،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ص</w:t>
        </w:r>
        <w:r w:rsidRPr="00944B31">
          <w:rPr>
            <w:rStyle w:val="Hyperlink"/>
            <w:rtl/>
          </w:rPr>
          <w:t>7.</w:t>
        </w:r>
      </w:hyperlink>
    </w:p>
  </w:footnote>
  <w:footnote w:id="7">
    <w:p w14:paraId="13425A1E" w14:textId="359C8252" w:rsidR="00944B31" w:rsidRPr="00944B31" w:rsidRDefault="00944B31" w:rsidP="00944B31">
      <w:pPr>
        <w:pStyle w:val="FootnoteText"/>
        <w:rPr>
          <w:rtl/>
        </w:rPr>
      </w:pPr>
      <w:r w:rsidRPr="00944B31">
        <w:footnoteRef/>
      </w:r>
      <w:r w:rsidRPr="00944B31">
        <w:rPr>
          <w:rtl/>
        </w:rPr>
        <w:t xml:space="preserve"> </w:t>
      </w:r>
      <w:hyperlink r:id="rId7" w:history="1">
        <w:r w:rsidRPr="00944B31">
          <w:rPr>
            <w:rStyle w:val="Hyperlink"/>
            <w:rFonts w:hint="cs"/>
            <w:rtl/>
          </w:rPr>
          <w:t>جواهر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الكلام،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النجفي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الجواهري،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الشيخ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محمد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حسن،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ج</w:t>
        </w:r>
        <w:r w:rsidRPr="00944B31">
          <w:rPr>
            <w:rStyle w:val="Hyperlink"/>
            <w:rtl/>
          </w:rPr>
          <w:t>8</w:t>
        </w:r>
        <w:r w:rsidRPr="00944B31">
          <w:rPr>
            <w:rStyle w:val="Hyperlink"/>
            <w:rFonts w:hint="cs"/>
            <w:rtl/>
          </w:rPr>
          <w:t>،</w:t>
        </w:r>
        <w:r w:rsidRPr="00944B31">
          <w:rPr>
            <w:rStyle w:val="Hyperlink"/>
            <w:rtl/>
          </w:rPr>
          <w:t xml:space="preserve"> </w:t>
        </w:r>
        <w:r w:rsidRPr="00944B31">
          <w:rPr>
            <w:rStyle w:val="Hyperlink"/>
            <w:rFonts w:hint="cs"/>
            <w:rtl/>
          </w:rPr>
          <w:t>ص</w:t>
        </w:r>
        <w:r w:rsidRPr="00944B31">
          <w:rPr>
            <w:rStyle w:val="Hyperlink"/>
            <w:rtl/>
          </w:rPr>
          <w:t>169.</w:t>
        </w:r>
      </w:hyperlink>
    </w:p>
  </w:footnote>
  <w:footnote w:id="8">
    <w:p w14:paraId="7211598E" w14:textId="43273586" w:rsidR="00635714" w:rsidRPr="00635714" w:rsidRDefault="00635714" w:rsidP="00635714">
      <w:pPr>
        <w:pStyle w:val="FootnoteText"/>
        <w:rPr>
          <w:rtl/>
        </w:rPr>
      </w:pPr>
      <w:r w:rsidRPr="00635714">
        <w:footnoteRef/>
      </w:r>
      <w:r w:rsidRPr="00635714">
        <w:rPr>
          <w:rtl/>
        </w:rPr>
        <w:t xml:space="preserve"> </w:t>
      </w:r>
      <w:hyperlink r:id="rId8" w:history="1">
        <w:r w:rsidRPr="00635714">
          <w:rPr>
            <w:rStyle w:val="Hyperlink"/>
            <w:rFonts w:hint="cs"/>
            <w:rtl/>
          </w:rPr>
          <w:t>سوره</w:t>
        </w:r>
        <w:r w:rsidRPr="00635714">
          <w:rPr>
            <w:rStyle w:val="Hyperlink"/>
            <w:rtl/>
          </w:rPr>
          <w:t xml:space="preserve"> </w:t>
        </w:r>
        <w:r w:rsidRPr="00635714">
          <w:rPr>
            <w:rStyle w:val="Hyperlink"/>
            <w:rFonts w:hint="cs"/>
            <w:rtl/>
          </w:rPr>
          <w:t>نور،</w:t>
        </w:r>
        <w:r w:rsidRPr="00635714">
          <w:rPr>
            <w:rStyle w:val="Hyperlink"/>
            <w:rtl/>
          </w:rPr>
          <w:t xml:space="preserve"> </w:t>
        </w:r>
        <w:r w:rsidRPr="00635714">
          <w:rPr>
            <w:rStyle w:val="Hyperlink"/>
            <w:rFonts w:hint="cs"/>
            <w:rtl/>
          </w:rPr>
          <w:t>آيه</w:t>
        </w:r>
        <w:r w:rsidRPr="00635714">
          <w:rPr>
            <w:rStyle w:val="Hyperlink"/>
            <w:rtl/>
          </w:rPr>
          <w:t xml:space="preserve"> 31.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62736EE7" w:rsidR="009B6B28" w:rsidRPr="00BD20B7" w:rsidRDefault="009B6B28" w:rsidP="003C6D79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 w:rsidR="00763019">
      <w:rPr>
        <w:rFonts w:ascii="Noor_Zar" w:hAnsi="Noor_Zar" w:cs="B Mitra" w:hint="cs"/>
        <w:b/>
        <w:bCs/>
        <w:sz w:val="20"/>
        <w:szCs w:val="20"/>
        <w:rtl/>
      </w:rPr>
      <w:t>فقه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آیت الله سیفی مازندرانی </w:t>
    </w:r>
    <w:r w:rsidRPr="00D61C98">
      <w:rPr>
        <w:rFonts w:ascii="Noor_Zar" w:hAnsi="Noor_Zar" w:cs="B Mitra"/>
        <w:b/>
        <w:bCs/>
        <w:sz w:val="20"/>
        <w:szCs w:val="20"/>
        <w:vertAlign w:val="superscript"/>
        <w:rtl/>
      </w:rPr>
      <w:t>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3C6D79">
      <w:rPr>
        <w:rFonts w:ascii="Noor_Zar" w:hAnsi="Noor_Zar" w:cs="B Mitra" w:hint="cs"/>
        <w:b/>
        <w:bCs/>
        <w:sz w:val="20"/>
        <w:szCs w:val="20"/>
        <w:rtl/>
      </w:rPr>
      <w:t>14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A063A1">
      <w:rPr>
        <w:rFonts w:ascii="Noor_Zar" w:hAnsi="Noor_Zar" w:cs="B Mitra" w:hint="cs"/>
        <w:b/>
        <w:bCs/>
        <w:sz w:val="20"/>
        <w:szCs w:val="20"/>
        <w:rtl/>
      </w:rPr>
      <w:t>0</w:t>
    </w:r>
    <w:r w:rsidR="00BB735B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96412">
    <w:abstractNumId w:val="3"/>
  </w:num>
  <w:num w:numId="2" w16cid:durableId="1814906112">
    <w:abstractNumId w:val="2"/>
  </w:num>
  <w:num w:numId="3" w16cid:durableId="1739475697">
    <w:abstractNumId w:val="0"/>
  </w:num>
  <w:num w:numId="4" w16cid:durableId="1036731097">
    <w:abstractNumId w:val="5"/>
  </w:num>
  <w:num w:numId="5" w16cid:durableId="1139615686">
    <w:abstractNumId w:val="1"/>
  </w:num>
  <w:num w:numId="6" w16cid:durableId="107138639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5D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2ED3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2A0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C1E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31B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2B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7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1F3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6E8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D7B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DAE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FF0"/>
    <w:rsid w:val="0015000C"/>
    <w:rsid w:val="0015003C"/>
    <w:rsid w:val="001500D8"/>
    <w:rsid w:val="0015013E"/>
    <w:rsid w:val="00150151"/>
    <w:rsid w:val="0015034B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94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58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BCA"/>
    <w:rsid w:val="001A20B2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5E1"/>
    <w:rsid w:val="001E45FF"/>
    <w:rsid w:val="001E462C"/>
    <w:rsid w:val="001E4827"/>
    <w:rsid w:val="001E486B"/>
    <w:rsid w:val="001E48D6"/>
    <w:rsid w:val="001E4976"/>
    <w:rsid w:val="001E4A62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DD2"/>
    <w:rsid w:val="00201F3C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7C5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C98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2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25E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25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6B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7B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6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D79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83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E95"/>
    <w:rsid w:val="00405047"/>
    <w:rsid w:val="00405062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826"/>
    <w:rsid w:val="004358E7"/>
    <w:rsid w:val="004359A4"/>
    <w:rsid w:val="00435F5B"/>
    <w:rsid w:val="0043618C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7A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AF9"/>
    <w:rsid w:val="00445B03"/>
    <w:rsid w:val="00445BF8"/>
    <w:rsid w:val="00445CB1"/>
    <w:rsid w:val="00445D43"/>
    <w:rsid w:val="00445E44"/>
    <w:rsid w:val="00445FA4"/>
    <w:rsid w:val="004461B0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59C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A9E"/>
    <w:rsid w:val="004C3C23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3C2"/>
    <w:rsid w:val="004D64C7"/>
    <w:rsid w:val="004D66BA"/>
    <w:rsid w:val="004D6719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C0"/>
    <w:rsid w:val="004E433F"/>
    <w:rsid w:val="004E4707"/>
    <w:rsid w:val="004E4927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8E"/>
    <w:rsid w:val="00517359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CC"/>
    <w:rsid w:val="00557323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65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337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D50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95B"/>
    <w:rsid w:val="00603BCA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14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6A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74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71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8E3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C3F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DDC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96"/>
    <w:rsid w:val="00683FDC"/>
    <w:rsid w:val="00684061"/>
    <w:rsid w:val="006841B2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1F7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7A9"/>
    <w:rsid w:val="00714920"/>
    <w:rsid w:val="00714929"/>
    <w:rsid w:val="00714A3E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385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19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1D7"/>
    <w:rsid w:val="0077754E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5F9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BD8"/>
    <w:rsid w:val="007F5DE7"/>
    <w:rsid w:val="007F5F6D"/>
    <w:rsid w:val="007F66FC"/>
    <w:rsid w:val="007F689D"/>
    <w:rsid w:val="007F7142"/>
    <w:rsid w:val="007F7305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D1B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66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BE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57F04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976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6FA6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CDB"/>
    <w:rsid w:val="008D6D08"/>
    <w:rsid w:val="008D6D73"/>
    <w:rsid w:val="008D6DFF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00C"/>
    <w:rsid w:val="008E4031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31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0E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57"/>
    <w:rsid w:val="009018EB"/>
    <w:rsid w:val="009019B6"/>
    <w:rsid w:val="009019C9"/>
    <w:rsid w:val="00901D54"/>
    <w:rsid w:val="00901D5C"/>
    <w:rsid w:val="00901D68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A9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D7F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4F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6B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4B31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1F6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B18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2"/>
    <w:rsid w:val="009F4913"/>
    <w:rsid w:val="009F4A00"/>
    <w:rsid w:val="009F4A81"/>
    <w:rsid w:val="009F4BC2"/>
    <w:rsid w:val="009F4C84"/>
    <w:rsid w:val="009F4DAD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A1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BE6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39C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87F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D1"/>
    <w:rsid w:val="00A90F12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136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6FC3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2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6A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4B"/>
    <w:rsid w:val="00B33E70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B8B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9F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0DE"/>
    <w:rsid w:val="00BB730D"/>
    <w:rsid w:val="00BB735B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98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62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04C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4EB1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CD3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1D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C98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3A5"/>
    <w:rsid w:val="00D943FE"/>
    <w:rsid w:val="00D94466"/>
    <w:rsid w:val="00D94698"/>
    <w:rsid w:val="00D9471E"/>
    <w:rsid w:val="00D9489A"/>
    <w:rsid w:val="00D9489F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4C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84D"/>
    <w:rsid w:val="00E5190B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12BB"/>
    <w:rsid w:val="00E613A4"/>
    <w:rsid w:val="00E613AD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2D6"/>
    <w:rsid w:val="00E723B7"/>
    <w:rsid w:val="00E7243E"/>
    <w:rsid w:val="00E726E9"/>
    <w:rsid w:val="00E727EE"/>
    <w:rsid w:val="00E72A93"/>
    <w:rsid w:val="00E72A9A"/>
    <w:rsid w:val="00E72E5E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4F"/>
    <w:rsid w:val="00E90CF5"/>
    <w:rsid w:val="00E90F19"/>
    <w:rsid w:val="00E91220"/>
    <w:rsid w:val="00E91283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0E63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133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2F4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F3"/>
    <w:rsid w:val="00F25F54"/>
    <w:rsid w:val="00F25F57"/>
    <w:rsid w:val="00F25F95"/>
    <w:rsid w:val="00F2613B"/>
    <w:rsid w:val="00F2618C"/>
    <w:rsid w:val="00F26457"/>
    <w:rsid w:val="00F264B4"/>
    <w:rsid w:val="00F264F2"/>
    <w:rsid w:val="00F26564"/>
    <w:rsid w:val="00F26889"/>
    <w:rsid w:val="00F26929"/>
    <w:rsid w:val="00F26C47"/>
    <w:rsid w:val="00F26D89"/>
    <w:rsid w:val="00F26E70"/>
    <w:rsid w:val="00F26F02"/>
    <w:rsid w:val="00F26F4C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4FE"/>
    <w:rsid w:val="00F41588"/>
    <w:rsid w:val="00F41667"/>
    <w:rsid w:val="00F417DB"/>
    <w:rsid w:val="00F4185D"/>
    <w:rsid w:val="00F418B6"/>
    <w:rsid w:val="00F418F9"/>
    <w:rsid w:val="00F41BA3"/>
    <w:rsid w:val="00F4214F"/>
    <w:rsid w:val="00F4217C"/>
    <w:rsid w:val="00F421D7"/>
    <w:rsid w:val="00F4227F"/>
    <w:rsid w:val="00F423D1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9F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67D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3F1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485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62DE7A18-A9CE-4F02-B9FB-B1215AC6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  <w:style w:type="character" w:customStyle="1" w:styleId="kalamatekhas">
    <w:name w:val="kalamatekhas"/>
    <w:basedOn w:val="DefaultParagraphFont"/>
    <w:rsid w:val="00722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lib.eshia.ir//17001/1/353/31" TargetMode="External"/><Relationship Id="rId3" Type="http://schemas.openxmlformats.org/officeDocument/2006/relationships/hyperlink" Target="http://lib.eshia.ir/27793/1/195/&#1591;&#1614;&#1604;&#1614;&#1610;&#1618;&#1578;&#1615;&#1607;&#1615;" TargetMode="External"/><Relationship Id="rId7" Type="http://schemas.openxmlformats.org/officeDocument/2006/relationships/hyperlink" Target="http://lib.eshia.ir/10088/8/169/&#1601;&#1604;&#1604;&#1571;&#1589;&#1604;" TargetMode="External"/><Relationship Id="rId2" Type="http://schemas.openxmlformats.org/officeDocument/2006/relationships/hyperlink" Target="http://lib.eshia.ir/40710/1/192/&#1591;&#1614;&#1604;&#1614;&#1575;&#1607;&#1615;" TargetMode="External"/><Relationship Id="rId1" Type="http://schemas.openxmlformats.org/officeDocument/2006/relationships/hyperlink" Target="http://lib.eshia.ir/86531/6/2415/&#1591;&#1614;&#1604;&#1614;&#1610;&#1618;&#1578;&#1614;&#1607;&#1615;" TargetMode="External"/><Relationship Id="rId6" Type="http://schemas.openxmlformats.org/officeDocument/2006/relationships/hyperlink" Target="http://lib.eshia.ir/10013/7/7/&#1601;&#1575;&#1604;&#1605;&#1588;&#1607;&#1608;&#1585;" TargetMode="External"/><Relationship Id="rId5" Type="http://schemas.openxmlformats.org/officeDocument/2006/relationships/hyperlink" Target="http://lib.eshia.ir/10149/3/188/&#1575;&#1582;&#1578;&#1604;&#1601;" TargetMode="External"/><Relationship Id="rId4" Type="http://schemas.openxmlformats.org/officeDocument/2006/relationships/hyperlink" Target="http://lib.eshia.ir/27154/2/376/&#1575;&#1604;&#1587;&#1585;&#1577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D98F1-14EF-444C-B6B9-782D9E228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1991</Words>
  <Characters>11353</Characters>
  <Application>Microsoft Office Word</Application>
  <DocSecurity>0</DocSecurity>
  <Lines>94</Lines>
  <Paragraphs>26</Paragraphs>
  <ScaleCrop>false</ScaleCrop>
  <HeadingPairs>
    <vt:vector size="4" baseType="variant">
      <vt:variant>
        <vt:lpstr>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mohammad tehrani</cp:lastModifiedBy>
  <cp:revision>2</cp:revision>
  <cp:lastPrinted>2023-11-05T18:44:00Z</cp:lastPrinted>
  <dcterms:created xsi:type="dcterms:W3CDTF">2025-10-07T03:35:00Z</dcterms:created>
  <dcterms:modified xsi:type="dcterms:W3CDTF">2025-10-07T03:35:00Z</dcterms:modified>
</cp:coreProperties>
</file>