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8477" w14:textId="1F1E0237" w:rsidR="000079C6" w:rsidRPr="00116970" w:rsidRDefault="000E731B" w:rsidP="00E33E15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r w:rsidR="00763019" w:rsidRPr="00116970">
        <w:rPr>
          <w:rFonts w:hint="cs"/>
          <w:color w:val="FF0000"/>
          <w:rtl/>
        </w:rPr>
        <w:t>الصلاة</w:t>
      </w:r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r w:rsidR="00763019" w:rsidRPr="00116970">
        <w:rPr>
          <w:rFonts w:hint="cs"/>
          <w:color w:val="FF0000"/>
          <w:rtl/>
        </w:rPr>
        <w:t>ستر</w:t>
      </w:r>
      <w:r w:rsidRPr="00116970">
        <w:rPr>
          <w:rFonts w:hint="cs"/>
          <w:color w:val="FF0000"/>
          <w:rtl/>
        </w:rPr>
        <w:t xml:space="preserve"> / </w:t>
      </w:r>
      <w:r w:rsidR="001B697B">
        <w:rPr>
          <w:rFonts w:hint="cs"/>
          <w:color w:val="FF0000"/>
          <w:rtl/>
        </w:rPr>
        <w:t>پوشش زن در نماز</w:t>
      </w:r>
    </w:p>
    <w:p w14:paraId="575E931E" w14:textId="77777777" w:rsidR="004B7B4A" w:rsidRDefault="004B7B4A" w:rsidP="00E33E15">
      <w:pPr>
        <w:ind w:firstLine="157"/>
        <w:rPr>
          <w:rtl/>
        </w:rPr>
      </w:pPr>
    </w:p>
    <w:p w14:paraId="623ED3E4" w14:textId="0C79532C" w:rsidR="004B7B4A" w:rsidRPr="003B37C3" w:rsidRDefault="003B37C3" w:rsidP="00E33E15">
      <w:pPr>
        <w:ind w:firstLine="157"/>
        <w:rPr>
          <w:color w:val="FF0000"/>
          <w:rtl/>
        </w:rPr>
      </w:pPr>
      <w:r w:rsidRPr="003B37C3">
        <w:rPr>
          <w:rFonts w:hint="cs"/>
          <w:color w:val="FF0000"/>
          <w:rtl/>
        </w:rPr>
        <w:t>نکته ای در مورد روایت عبیدالله دابقی</w:t>
      </w:r>
    </w:p>
    <w:p w14:paraId="1C35C33A" w14:textId="043EDED4" w:rsidR="003B37C3" w:rsidRPr="009833DF" w:rsidRDefault="003B37C3" w:rsidP="00E33E15">
      <w:pPr>
        <w:ind w:firstLine="157"/>
        <w:rPr>
          <w:color w:val="008000"/>
        </w:rPr>
      </w:pPr>
      <w:r>
        <w:rPr>
          <w:rFonts w:hint="cs"/>
          <w:rtl/>
        </w:rPr>
        <w:t xml:space="preserve">قبلا روایت عبیدالله دابقی را نقل کردیم که در ذیل آن چنین عبارتی آمده بود: </w:t>
      </w:r>
      <w:r>
        <w:rPr>
          <w:rFonts w:hint="cs"/>
          <w:color w:val="008000"/>
          <w:rtl/>
        </w:rPr>
        <w:t>«</w:t>
      </w:r>
      <w:r w:rsidRPr="009833DF">
        <w:rPr>
          <w:rFonts w:hint="cs"/>
          <w:color w:val="008000"/>
          <w:rtl/>
        </w:rPr>
        <w:t>كَلَّا إِنَّ النُّورَةَ سُتْرَةٌ».</w:t>
      </w:r>
      <w:r>
        <w:rPr>
          <w:rStyle w:val="FootnoteReference"/>
          <w:color w:val="008000"/>
        </w:rPr>
        <w:footnoteReference w:id="1"/>
      </w:r>
    </w:p>
    <w:p w14:paraId="1F53C48C" w14:textId="7CF6B1AB" w:rsidR="004B7B4A" w:rsidRDefault="003B37C3" w:rsidP="00E33E15">
      <w:pPr>
        <w:ind w:firstLine="157"/>
        <w:rPr>
          <w:rtl/>
        </w:rPr>
      </w:pPr>
      <w:r>
        <w:rPr>
          <w:rFonts w:hint="cs"/>
          <w:rtl/>
        </w:rPr>
        <w:t xml:space="preserve">این روایت در کافی و من لا یحضره الفقیه و وسائل ذکر شده است، </w:t>
      </w:r>
      <w:r>
        <w:rPr>
          <w:rtl/>
        </w:rPr>
        <w:t>منته</w:t>
      </w:r>
      <w:r>
        <w:rPr>
          <w:rFonts w:hint="cs"/>
          <w:rtl/>
        </w:rPr>
        <w:t>ی</w:t>
      </w:r>
      <w:r w:rsidR="004B7B4A">
        <w:rPr>
          <w:rtl/>
        </w:rPr>
        <w:t xml:space="preserve"> در ذ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ل</w:t>
      </w:r>
      <w:r w:rsidR="004B7B4A">
        <w:rPr>
          <w:rtl/>
        </w:rPr>
        <w:t xml:space="preserve"> آن، لفظ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وجود داش</w:t>
      </w:r>
      <w:r w:rsidR="004B7B4A">
        <w:rPr>
          <w:rFonts w:hint="eastAsia"/>
          <w:rtl/>
        </w:rPr>
        <w:t>ت</w:t>
      </w:r>
      <w:r w:rsidR="004B7B4A">
        <w:rPr>
          <w:rtl/>
        </w:rPr>
        <w:t xml:space="preserve"> که در «وسائل» به صورت «سَتَرَهُ» آمده بود و در نسخه‌ا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د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گر</w:t>
      </w:r>
      <w:r>
        <w:rPr>
          <w:rtl/>
        </w:rPr>
        <w:t xml:space="preserve"> به شکل «سترة»</w:t>
      </w:r>
      <w:r>
        <w:rPr>
          <w:rFonts w:hint="cs"/>
          <w:rtl/>
        </w:rPr>
        <w:t xml:space="preserve"> ذکر شده بود. </w:t>
      </w:r>
    </w:p>
    <w:p w14:paraId="322F8749" w14:textId="1F0ADA98" w:rsidR="003B37C3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«سَتَرَهُ» باشد، بلکه</w:t>
      </w:r>
      <w:r w:rsidR="003B37C3">
        <w:rPr>
          <w:rFonts w:hint="cs"/>
          <w:rtl/>
        </w:rPr>
        <w:t xml:space="preserve"> اگر فعل باشد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«سَتَرَتْهُ»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کلمه «نُورَة» در عبارت وجود دارد: "كَلَّا إِنَّ النُّورَةَ سَتَرَتْهُ".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«سَتَرَتْهُ» باشد. </w:t>
      </w:r>
    </w:p>
    <w:p w14:paraId="77ACE901" w14:textId="77777777" w:rsidR="003B37C3" w:rsidRDefault="003B37C3" w:rsidP="00E33E15">
      <w:pPr>
        <w:ind w:firstLine="157"/>
        <w:rPr>
          <w:rtl/>
        </w:rPr>
      </w:pPr>
      <w:r>
        <w:rPr>
          <w:rFonts w:hint="cs"/>
          <w:rtl/>
        </w:rPr>
        <w:t xml:space="preserve">منتهی احتمال دیگری هم وجود دارد و آن اینکه </w:t>
      </w:r>
      <w:r>
        <w:rPr>
          <w:rtl/>
        </w:rPr>
        <w:t>همان «س</w:t>
      </w:r>
      <w:r>
        <w:rPr>
          <w:rFonts w:hint="cs"/>
          <w:rtl/>
        </w:rPr>
        <w:t>ُ</w:t>
      </w:r>
      <w:r>
        <w:rPr>
          <w:rtl/>
        </w:rPr>
        <w:t>ترَة» با «تاء» باشد، منته</w:t>
      </w:r>
      <w:r>
        <w:rPr>
          <w:rFonts w:hint="cs"/>
          <w:rtl/>
        </w:rPr>
        <w:t>ی</w:t>
      </w:r>
      <w:r w:rsidR="004B7B4A">
        <w:rPr>
          <w:rtl/>
        </w:rPr>
        <w:t xml:space="preserve"> به ضم «س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ن»</w:t>
      </w:r>
      <w:r w:rsidR="004B7B4A">
        <w:rPr>
          <w:rtl/>
        </w:rPr>
        <w:t xml:space="preserve">. </w:t>
      </w:r>
    </w:p>
    <w:p w14:paraId="2329E8D6" w14:textId="7E70BB3A" w:rsidR="004B7B4A" w:rsidRDefault="004B7B4A" w:rsidP="00E33E15">
      <w:pPr>
        <w:ind w:firstLine="157"/>
        <w:rPr>
          <w:rtl/>
        </w:rPr>
      </w:pPr>
      <w:r>
        <w:rPr>
          <w:rtl/>
        </w:rPr>
        <w:t>«خل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 w:rsidR="003B37C3">
        <w:rPr>
          <w:rFonts w:hint="cs"/>
          <w:rtl/>
        </w:rPr>
        <w:t xml:space="preserve"> در «العین»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E33E15">
        <w:rPr>
          <w:color w:val="000080"/>
          <w:rtl/>
        </w:rPr>
        <w:t>"السُّترَةُ مَا استَتَرتَ بِهِ"</w:t>
      </w:r>
      <w:r w:rsidR="003B37C3">
        <w:rPr>
          <w:rStyle w:val="FootnoteReference"/>
          <w:rtl/>
        </w:rPr>
        <w:footnoteReference w:id="2"/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نوره، پوشش</w:t>
      </w:r>
      <w:r>
        <w:rPr>
          <w:rFonts w:hint="cs"/>
          <w:rtl/>
        </w:rPr>
        <w:t>ی</w:t>
      </w:r>
      <w:r>
        <w:rPr>
          <w:rtl/>
        </w:rPr>
        <w:t xml:space="preserve"> است مانند لباس.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ضبط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 w:rsidR="003B37C3">
        <w:rPr>
          <w:rFonts w:hint="cs"/>
          <w:rtl/>
        </w:rPr>
        <w:t>مطلب درست می شود</w:t>
      </w:r>
      <w:r>
        <w:rPr>
          <w:rtl/>
        </w:rPr>
        <w:t>.</w:t>
      </w:r>
    </w:p>
    <w:p w14:paraId="19D63156" w14:textId="77777777" w:rsidR="004B7B4A" w:rsidRDefault="004B7B4A" w:rsidP="00E33E15">
      <w:pPr>
        <w:ind w:firstLine="157"/>
        <w:rPr>
          <w:rtl/>
        </w:rPr>
      </w:pPr>
    </w:p>
    <w:p w14:paraId="6BCF0B92" w14:textId="6181BC7B" w:rsidR="006F3DCA" w:rsidRPr="006F3DCA" w:rsidRDefault="006F3DCA" w:rsidP="00E33E15">
      <w:pPr>
        <w:ind w:firstLine="157"/>
        <w:rPr>
          <w:color w:val="FF0000"/>
          <w:rtl/>
        </w:rPr>
      </w:pPr>
      <w:r w:rsidRPr="006F3DCA">
        <w:rPr>
          <w:rFonts w:hint="cs"/>
          <w:color w:val="FF0000"/>
          <w:rtl/>
        </w:rPr>
        <w:t>کلام صاحب جواهر</w:t>
      </w:r>
    </w:p>
    <w:p w14:paraId="40C6BC90" w14:textId="79BF2143" w:rsidR="006F3DCA" w:rsidRDefault="006F3DCA" w:rsidP="00E33E15">
      <w:pPr>
        <w:ind w:firstLine="157"/>
        <w:rPr>
          <w:rtl/>
        </w:rPr>
      </w:pPr>
      <w:r>
        <w:rPr>
          <w:rFonts w:hint="cs"/>
          <w:rtl/>
        </w:rPr>
        <w:t>بحث در مورد پوشش زنان در حال نماز بود. کلام صاحب جواهر را در این مورد خواندیم. که ایشان وجه را استثناء کرده بود و دلیل اول برای این مطلب را تمسک به اصل دانسته بود.</w:t>
      </w:r>
    </w:p>
    <w:p w14:paraId="36699353" w14:textId="119BB122" w:rsidR="006F3DCA" w:rsidRPr="006F3DCA" w:rsidRDefault="006F3DCA" w:rsidP="00E33E15">
      <w:pPr>
        <w:ind w:firstLine="157"/>
        <w:rPr>
          <w:color w:val="000080"/>
          <w:rtl/>
        </w:rPr>
      </w:pPr>
      <w:r>
        <w:rPr>
          <w:rFonts w:hint="cs"/>
          <w:rtl/>
        </w:rPr>
        <w:t>نص کلام ایشان چنین است:</w:t>
      </w:r>
      <w:r w:rsidR="00E33E15">
        <w:rPr>
          <w:rFonts w:hint="cs"/>
          <w:rtl/>
        </w:rPr>
        <w:t xml:space="preserve"> </w:t>
      </w:r>
      <w:r w:rsidRPr="006F3DCA">
        <w:rPr>
          <w:rFonts w:hint="cs"/>
          <w:color w:val="000080"/>
          <w:rtl/>
        </w:rPr>
        <w:t>«نعم لا بأس باستثناء ما عدا ذلك مما ذكرناه و ذكره المصنف و غيره بقوله عدا الوجه و الكفين و ظاهر القدمين على تردد في القدمين أما الوجه فللأصل بناء على ما ذكرنا».</w:t>
      </w:r>
      <w:r w:rsidR="00E33E15">
        <w:rPr>
          <w:rStyle w:val="FootnoteReference"/>
          <w:color w:val="000080"/>
          <w:rtl/>
        </w:rPr>
        <w:footnoteReference w:id="3"/>
      </w:r>
    </w:p>
    <w:p w14:paraId="2D9A132F" w14:textId="10062AEC" w:rsidR="006F3DCA" w:rsidRDefault="006F3DCA" w:rsidP="00E33E15">
      <w:pPr>
        <w:ind w:firstLine="157"/>
        <w:rPr>
          <w:rtl/>
        </w:rPr>
      </w:pPr>
      <w:r>
        <w:rPr>
          <w:rFonts w:hint="cs"/>
          <w:rtl/>
        </w:rPr>
        <w:lastRenderedPageBreak/>
        <w:t>ایشان فرموده که مطلق بدن زن،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سر، مو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مواضع بدن</w:t>
      </w:r>
      <w:r>
        <w:rPr>
          <w:rFonts w:hint="cs"/>
          <w:rtl/>
        </w:rPr>
        <w:t xml:space="preserve"> باید پوشیده باشد، ولی غیر اینها استثناء شده است، که عبارتند از: وجه و کفین و همچنین قدمین، منتهی در مورد قدمین تردّد وجود دارد. </w:t>
      </w:r>
    </w:p>
    <w:p w14:paraId="44ABDB3A" w14:textId="1606CF00" w:rsidR="006F3DCA" w:rsidRDefault="006F3DCA" w:rsidP="00E33E15">
      <w:pPr>
        <w:ind w:firstLine="157"/>
        <w:rPr>
          <w:rtl/>
        </w:rPr>
      </w:pPr>
      <w:r>
        <w:rPr>
          <w:rFonts w:hint="cs"/>
          <w:rtl/>
        </w:rPr>
        <w:t xml:space="preserve">سپس دلیل استثنای وجه را اصل بیان کرده است. </w:t>
      </w:r>
    </w:p>
    <w:p w14:paraId="4C863F6D" w14:textId="54A302D8" w:rsidR="004B7B4A" w:rsidRDefault="004B7B4A" w:rsidP="00E33E15">
      <w:pPr>
        <w:ind w:firstLine="157"/>
        <w:rPr>
          <w:rtl/>
        </w:rPr>
      </w:pPr>
      <w:r w:rsidRPr="006F3DCA">
        <w:rPr>
          <w:highlight w:val="yellow"/>
          <w:rtl/>
        </w:rPr>
        <w:t>عرض کرد</w:t>
      </w:r>
      <w:r w:rsidRPr="006F3DCA">
        <w:rPr>
          <w:rFonts w:hint="cs"/>
          <w:highlight w:val="yellow"/>
          <w:rtl/>
        </w:rPr>
        <w:t>ی</w:t>
      </w:r>
      <w:r w:rsidRPr="006F3DCA">
        <w:rPr>
          <w:rFonts w:hint="eastAsia"/>
          <w:highlight w:val="yellow"/>
          <w:rtl/>
        </w:rPr>
        <w:t>م</w:t>
      </w:r>
      <w:r w:rsidRPr="006F3DCA">
        <w:rPr>
          <w:highlight w:val="yellow"/>
          <w:rtl/>
        </w:rPr>
        <w:t xml:space="preserve"> </w:t>
      </w:r>
      <w:r>
        <w:rPr>
          <w:rtl/>
        </w:rPr>
        <w:t>که</w:t>
      </w:r>
      <w:r w:rsidR="006F3DCA">
        <w:rPr>
          <w:rFonts w:hint="cs"/>
          <w:rtl/>
        </w:rPr>
        <w:t xml:space="preserve"> در مورد این اصل،</w:t>
      </w:r>
      <w:r>
        <w:rPr>
          <w:rtl/>
        </w:rPr>
        <w:t xml:space="preserve"> دو احتمال وجود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F3DCA">
        <w:rPr>
          <w:rFonts w:hint="cs"/>
          <w:rtl/>
        </w:rPr>
        <w:t>است</w:t>
      </w:r>
      <w:r>
        <w:rPr>
          <w:rtl/>
        </w:rPr>
        <w:t xml:space="preserve"> که مراد، اطلاق "إِلَّا مَا ظَ</w:t>
      </w:r>
      <w:r>
        <w:rPr>
          <w:rFonts w:hint="eastAsia"/>
          <w:rtl/>
        </w:rPr>
        <w:t>هَرَ</w:t>
      </w:r>
      <w:r>
        <w:rPr>
          <w:rtl/>
        </w:rPr>
        <w:t>" باشد، طبق عادت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6F3DCA">
        <w:rPr>
          <w:rtl/>
        </w:rPr>
        <w:t xml:space="preserve"> که </w:t>
      </w:r>
      <w:r w:rsidR="006F3DCA">
        <w:rPr>
          <w:rFonts w:hint="cs"/>
          <w:rtl/>
        </w:rPr>
        <w:t>از</w:t>
      </w:r>
      <w:r>
        <w:rPr>
          <w:rtl/>
        </w:rPr>
        <w:t xml:space="preserve"> اطلاقات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F3DCA">
        <w:rPr>
          <w:rFonts w:hint="cs"/>
          <w:rtl/>
        </w:rPr>
        <w:t xml:space="preserve"> به عنوان اصل یاد می کند. </w:t>
      </w:r>
      <w:r>
        <w:rPr>
          <w:rtl/>
        </w:rPr>
        <w:t>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مراد، اصل برائت از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استصحاب عدم وجوب باشد.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وجوب ستر، حکم</w:t>
      </w:r>
      <w:r>
        <w:rPr>
          <w:rFonts w:hint="cs"/>
          <w:rtl/>
        </w:rPr>
        <w:t>ی</w:t>
      </w:r>
      <w:r>
        <w:rPr>
          <w:rtl/>
        </w:rPr>
        <w:t xml:space="preserve"> است که از جانب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و قبل از اسلام وجود نداشته ا</w:t>
      </w:r>
      <w:r>
        <w:rPr>
          <w:rFonts w:hint="eastAsia"/>
          <w:rtl/>
        </w:rPr>
        <w:t>ست</w:t>
      </w:r>
      <w:r>
        <w:rPr>
          <w:rtl/>
        </w:rPr>
        <w:t>. پس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آن،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شامل 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عدم شمول را استصحاب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ستر 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اصل برائت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C50E95E" w14:textId="77777777" w:rsidR="006F3DCA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عبارت</w:t>
      </w:r>
      <w:r w:rsidR="006F3DCA">
        <w:rPr>
          <w:rtl/>
        </w:rPr>
        <w:t xml:space="preserve"> </w:t>
      </w:r>
      <w:r w:rsidR="006F3DCA">
        <w:rPr>
          <w:rFonts w:hint="cs"/>
          <w:rtl/>
        </w:rPr>
        <w:t>«بناء علی ما ذکرنا»</w:t>
      </w:r>
      <w:r>
        <w:rPr>
          <w:rtl/>
        </w:rPr>
        <w:t xml:space="preserve"> که در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آمده، مقصودش مطلب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صفحه قبل</w:t>
      </w:r>
      <w:r w:rsidR="006F3DCA">
        <w:rPr>
          <w:rFonts w:hint="cs"/>
          <w:rtl/>
        </w:rPr>
        <w:t xml:space="preserve"> در مورد پوشش مو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</w:t>
      </w:r>
    </w:p>
    <w:p w14:paraId="7ED54AC0" w14:textId="1BA2F2B1" w:rsidR="004B7B4A" w:rsidRDefault="004B7B4A" w:rsidP="00E33E15">
      <w:pPr>
        <w:ind w:firstLine="157"/>
        <w:rPr>
          <w:rtl/>
        </w:rPr>
      </w:pPr>
      <w:r>
        <w:rPr>
          <w:rtl/>
        </w:rPr>
        <w:t>در بحث وجوب پوشش مو،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 اختلاف شده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پوشش مو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 w:rsidR="006F3DCA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البته</w:t>
      </w:r>
      <w:r>
        <w:rPr>
          <w:rtl/>
        </w:rPr>
        <w:t xml:space="preserve"> مشهور فقها، به‌خصوص قدما، همگ</w:t>
      </w:r>
      <w:r>
        <w:rPr>
          <w:rFonts w:hint="cs"/>
          <w:rtl/>
        </w:rPr>
        <w:t>ی</w:t>
      </w:r>
      <w:r>
        <w:rPr>
          <w:rtl/>
        </w:rPr>
        <w:t xml:space="preserve"> آن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تنها چند نفر از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متأخرالمتأخر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مخالفت کرده‌اند</w:t>
      </w:r>
      <w:r w:rsidR="006F3DCA">
        <w:rPr>
          <w:rFonts w:hint="cs"/>
          <w:rtl/>
        </w:rPr>
        <w:t>.</w:t>
      </w:r>
      <w:r>
        <w:rPr>
          <w:rtl/>
        </w:rPr>
        <w:t xml:space="preserve"> </w:t>
      </w:r>
    </w:p>
    <w:p w14:paraId="25EFFDFB" w14:textId="5734D58C" w:rsidR="006F3DCA" w:rsidRDefault="00C005A1" w:rsidP="00E33E15">
      <w:pPr>
        <w:ind w:firstLine="157"/>
        <w:rPr>
          <w:rtl/>
        </w:rPr>
      </w:pPr>
      <w:r>
        <w:rPr>
          <w:rFonts w:hint="cs"/>
          <w:rtl/>
        </w:rPr>
        <w:t>صاحب جواهر</w:t>
      </w:r>
      <w:r w:rsidR="004B7B4A">
        <w:rPr>
          <w:rtl/>
        </w:rPr>
        <w:t xml:space="preserve"> برا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قول مشهور، به نصوص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استدلال کرده که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گو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</w:t>
      </w:r>
      <w:r>
        <w:rPr>
          <w:rFonts w:hint="cs"/>
          <w:rtl/>
        </w:rPr>
        <w:t xml:space="preserve"> زنان</w:t>
      </w:r>
      <w:r w:rsidR="004B7B4A">
        <w:rPr>
          <w:rtl/>
        </w:rPr>
        <w:t xml:space="preserve"> با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</w:t>
      </w:r>
      <w:r w:rsidR="004B7B4A">
        <w:rPr>
          <w:rtl/>
        </w:rPr>
        <w:t xml:space="preserve"> خمار</w:t>
      </w:r>
      <w:r w:rsidR="006F3DCA">
        <w:rPr>
          <w:rFonts w:hint="cs"/>
          <w:rtl/>
        </w:rPr>
        <w:t xml:space="preserve"> و روسری</w:t>
      </w:r>
      <w:r w:rsidR="004B7B4A">
        <w:rPr>
          <w:rtl/>
        </w:rPr>
        <w:t xml:space="preserve"> بپوشند، همان نصوص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که ما امروز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خوان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م</w:t>
      </w:r>
      <w:r w:rsidR="004B7B4A">
        <w:rPr>
          <w:rtl/>
        </w:rPr>
        <w:t>. به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دل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ل</w:t>
      </w:r>
      <w:r w:rsidR="004B7B4A">
        <w:rPr>
          <w:rtl/>
        </w:rPr>
        <w:t xml:space="preserve"> که عادت زنان عرب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ن‌گونه</w:t>
      </w:r>
      <w:r w:rsidR="004B7B4A">
        <w:rPr>
          <w:rtl/>
        </w:rPr>
        <w:t xml:space="preserve"> بود که زنان عف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فه،</w:t>
      </w:r>
      <w:r w:rsidR="004B7B4A">
        <w:rPr>
          <w:rtl/>
        </w:rPr>
        <w:t xml:space="preserve"> خمار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پوش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دند</w:t>
      </w:r>
      <w:r w:rsidR="004B7B4A">
        <w:rPr>
          <w:rtl/>
        </w:rPr>
        <w:t xml:space="preserve"> و خمار، سر و مو را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پوشاند</w:t>
      </w:r>
      <w:r w:rsidR="004B7B4A">
        <w:rPr>
          <w:rtl/>
        </w:rPr>
        <w:t xml:space="preserve">. </w:t>
      </w:r>
    </w:p>
    <w:p w14:paraId="314CB9FF" w14:textId="16B87C7B" w:rsidR="006F3DCA" w:rsidRDefault="006F3DCA" w:rsidP="00E33E15">
      <w:pPr>
        <w:ind w:firstLine="157"/>
        <w:rPr>
          <w:rtl/>
        </w:rPr>
      </w:pPr>
      <w:r>
        <w:rPr>
          <w:rFonts w:hint="cs"/>
          <w:rtl/>
        </w:rPr>
        <w:t>تعبیر ایشان این است:</w:t>
      </w:r>
    </w:p>
    <w:p w14:paraId="6ED2BF70" w14:textId="7532EC74" w:rsidR="006F3DCA" w:rsidRPr="00C005A1" w:rsidRDefault="006F3DCA" w:rsidP="00E33E15">
      <w:pPr>
        <w:ind w:firstLine="157"/>
        <w:rPr>
          <w:color w:val="000080"/>
          <w:rtl/>
        </w:rPr>
      </w:pPr>
      <w:r w:rsidRPr="00C005A1">
        <w:rPr>
          <w:rFonts w:hint="cs"/>
          <w:color w:val="000080"/>
          <w:rtl/>
        </w:rPr>
        <w:t>«نعم لا بأس بالاستدلال في نصوص الخمار لا لذلك بل لظهوره و لو بحسب المتعارف فيه المشاهد منه الآن على نساء الأعراب في الساتر للشعر ... خلافا للسيد في المدارك، و لم أجد له موافقا صريحا معتدا به، نعم عن القاضي في شرح الجمل أنه حكي عن بعض أصحابنا ذلك أيضا، و لا ريب ف</w:t>
      </w:r>
      <w:r w:rsidR="00C005A1" w:rsidRPr="00C005A1">
        <w:rPr>
          <w:rFonts w:hint="cs"/>
          <w:color w:val="000080"/>
          <w:rtl/>
        </w:rPr>
        <w:t>ي ضعفه كمستنده من الأصل المقطوع».</w:t>
      </w:r>
      <w:r w:rsidR="00E33E15">
        <w:rPr>
          <w:rStyle w:val="FootnoteReference"/>
          <w:color w:val="000080"/>
          <w:rtl/>
        </w:rPr>
        <w:footnoteReference w:id="4"/>
      </w:r>
    </w:p>
    <w:p w14:paraId="277B741D" w14:textId="7154483C" w:rsidR="006F3DCA" w:rsidRPr="006F3DCA" w:rsidRDefault="00C005A1" w:rsidP="00E33E15">
      <w:pPr>
        <w:ind w:firstLine="157"/>
        <w:rPr>
          <w:rtl/>
        </w:rPr>
      </w:pPr>
      <w:r>
        <w:rPr>
          <w:rFonts w:hint="cs"/>
          <w:rtl/>
        </w:rPr>
        <w:lastRenderedPageBreak/>
        <w:t xml:space="preserve">مراد ایشان از «لا لذلک» این است که برای قول مشهور به قول صاحب ریاض تمسک نمی شود. </w:t>
      </w:r>
    </w:p>
    <w:p w14:paraId="78CE119F" w14:textId="77777777" w:rsidR="00C005A1" w:rsidRDefault="004B7B4A" w:rsidP="00E33E15">
      <w:pPr>
        <w:ind w:firstLine="157"/>
        <w:rPr>
          <w:rtl/>
        </w:rPr>
      </w:pPr>
      <w:r>
        <w:rPr>
          <w:rtl/>
        </w:rPr>
        <w:t>صاحب ر</w:t>
      </w:r>
      <w:r>
        <w:rPr>
          <w:rFonts w:hint="cs"/>
          <w:rtl/>
        </w:rPr>
        <w:t>ی</w:t>
      </w:r>
      <w:r w:rsidR="00C005A1">
        <w:rPr>
          <w:rFonts w:hint="eastAsia"/>
          <w:rtl/>
        </w:rPr>
        <w:t>اض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قول مشهور، استدلال</w:t>
      </w:r>
      <w:r>
        <w:rPr>
          <w:rFonts w:hint="cs"/>
          <w:rtl/>
        </w:rPr>
        <w:t>ی</w:t>
      </w:r>
      <w:r>
        <w:rPr>
          <w:rtl/>
        </w:rPr>
        <w:t xml:space="preserve"> کرده که در سه چهار سطر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آمده</w:t>
      </w:r>
      <w:r w:rsidR="00C005A1">
        <w:rPr>
          <w:rFonts w:hint="cs"/>
          <w:rtl/>
        </w:rPr>
        <w:t xml:space="preserve"> و آن این</w:t>
      </w:r>
      <w:r>
        <w:rPr>
          <w:rtl/>
        </w:rPr>
        <w:t xml:space="preserve"> است:</w:t>
      </w:r>
    </w:p>
    <w:p w14:paraId="53D02C47" w14:textId="5F0D84CF" w:rsidR="00C005A1" w:rsidRPr="00C005A1" w:rsidRDefault="00C005A1" w:rsidP="00E33E15">
      <w:pPr>
        <w:ind w:firstLine="157"/>
        <w:rPr>
          <w:color w:val="000080"/>
        </w:rPr>
      </w:pPr>
      <w:r w:rsidRPr="00C005A1">
        <w:rPr>
          <w:rFonts w:hint="cs"/>
          <w:color w:val="000080"/>
          <w:rtl/>
        </w:rPr>
        <w:t>«</w:t>
      </w:r>
      <w:r w:rsidRPr="00C005A1">
        <w:rPr>
          <w:color w:val="000080"/>
          <w:rtl/>
        </w:rPr>
        <w:t>لو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كان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مرادهم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بالجسد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ما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يقابل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الشعر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لما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كان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لأمرهم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بلزوم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الخمار</w:t>
      </w:r>
      <w:r w:rsidRPr="00C005A1">
        <w:rPr>
          <w:color w:val="000080"/>
        </w:rPr>
        <w:t xml:space="preserve"> </w:t>
      </w:r>
      <w:r w:rsidRPr="00C005A1">
        <w:rPr>
          <w:color w:val="000080"/>
          <w:rtl/>
        </w:rPr>
        <w:t>وجه</w:t>
      </w:r>
      <w:r w:rsidRPr="00C005A1">
        <w:rPr>
          <w:rFonts w:hint="cs"/>
          <w:color w:val="000080"/>
          <w:rtl/>
        </w:rPr>
        <w:t>».</w:t>
      </w:r>
      <w:r w:rsidR="00E33E15">
        <w:rPr>
          <w:rStyle w:val="FootnoteReference"/>
          <w:color w:val="000080"/>
          <w:rtl/>
        </w:rPr>
        <w:footnoteReference w:id="5"/>
      </w:r>
    </w:p>
    <w:p w14:paraId="6E172002" w14:textId="4E96E7FC" w:rsidR="004B7B4A" w:rsidRDefault="004B7B4A" w:rsidP="00E33E15">
      <w:pPr>
        <w:ind w:firstLine="157"/>
        <w:rPr>
          <w:rtl/>
        </w:rPr>
      </w:pPr>
      <w:r>
        <w:rPr>
          <w:rtl/>
        </w:rPr>
        <w:t>مقصود از «جسد» و «بدن» در کلام فقها و نصوص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"بَدَنُ الْمَرْأَةِ عَوْرَةٌ"، اگر مقابل «شعر» بود و شامل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 به استفاده از خمار، لغو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«بدن»، شامل «شعر»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A797F81" w14:textId="77777777" w:rsidR="00C005A1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«صاحب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اض»</w:t>
      </w:r>
      <w:r>
        <w:rPr>
          <w:rtl/>
        </w:rPr>
        <w:t xml:space="preserve"> است. سپس «صاحب جواهر»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استدلال ما به خاطر حرف «صاحب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استدلال او را قبول ندارد.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استدلال به «خمار»،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C005A1">
        <w:rPr>
          <w:rtl/>
        </w:rPr>
        <w:t xml:space="preserve"> </w:t>
      </w:r>
      <w:r w:rsidR="00C005A1">
        <w:rPr>
          <w:rFonts w:ascii="Times New Roman" w:hAnsi="Times New Roman" w:cs="Times New Roman"/>
          <w:color w:val="007200"/>
          <w:rtl/>
        </w:rPr>
        <w:t>﴿وَ لْيَضْرِبْنَ بِخُمُرِهِنَّ عَلَى جُيُوبِهِنَّ﴾</w:t>
      </w:r>
      <w:r>
        <w:rPr>
          <w:rtl/>
        </w:rPr>
        <w:t>،</w:t>
      </w:r>
      <w:r w:rsidR="00C005A1">
        <w:rPr>
          <w:rStyle w:val="FootnoteReference"/>
          <w:rtl/>
        </w:rPr>
        <w:footnoteReference w:id="6"/>
      </w:r>
      <w:r>
        <w:rPr>
          <w:rtl/>
        </w:rPr>
        <w:t xml:space="preserve"> به نفس خود دلالت بر وج</w:t>
      </w:r>
      <w:r>
        <w:rPr>
          <w:rFonts w:hint="eastAsia"/>
          <w:rtl/>
        </w:rPr>
        <w:t>وب</w:t>
      </w:r>
      <w:r>
        <w:rPr>
          <w:rtl/>
        </w:rPr>
        <w:t xml:space="preserve"> ستر مو دارد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مقابله‌سنج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استدلال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خمار، اساساً ظهور در ستر مو دارد. چرا؟ چون عادت زنان عرب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خمار، مو</w:t>
      </w:r>
      <w:r>
        <w:rPr>
          <w:rFonts w:hint="cs"/>
          <w:rtl/>
        </w:rPr>
        <w:t>ی</w:t>
      </w:r>
      <w:r>
        <w:rPr>
          <w:rtl/>
        </w:rPr>
        <w:t xml:space="preserve"> سر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پوشاندند</w:t>
      </w:r>
      <w:r>
        <w:rPr>
          <w:rtl/>
        </w:rPr>
        <w:t>.</w:t>
      </w:r>
    </w:p>
    <w:p w14:paraId="49017035" w14:textId="10C6F4EF" w:rsidR="004B7B4A" w:rsidRDefault="00C005A1" w:rsidP="00E33E15">
      <w:pPr>
        <w:ind w:firstLine="157"/>
        <w:rPr>
          <w:rtl/>
        </w:rPr>
      </w:pPr>
      <w:r>
        <w:rPr>
          <w:rFonts w:hint="cs"/>
          <w:rtl/>
        </w:rPr>
        <w:t>بنابراین به نصوص خمار می توان تمسک کرد، ولی نه به خاطر سخن صاحب ریاض، بلکه</w:t>
      </w:r>
      <w:r w:rsidR="004B7B4A">
        <w:rPr>
          <w:rtl/>
        </w:rPr>
        <w:t xml:space="preserve"> به خاطر ظهور خود امر به ضرب خمار، بر حسب عادت آن زمان که استمرار آن تا زمان خود «صاحب جواهر» 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ز</w:t>
      </w:r>
      <w:r w:rsidR="004B7B4A">
        <w:rPr>
          <w:rtl/>
        </w:rPr>
        <w:t xml:space="preserve"> در م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ان</w:t>
      </w:r>
      <w:r w:rsidR="004B7B4A">
        <w:rPr>
          <w:rtl/>
        </w:rPr>
        <w:t xml:space="preserve"> زنان عرب مشاهده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شود</w:t>
      </w:r>
      <w:r w:rsidR="004B7B4A">
        <w:rPr>
          <w:rtl/>
        </w:rPr>
        <w:t>. گو</w:t>
      </w:r>
      <w:r w:rsidR="004B7B4A">
        <w:rPr>
          <w:rFonts w:hint="cs"/>
          <w:rtl/>
        </w:rPr>
        <w:t>یی</w:t>
      </w:r>
      <w:r w:rsidR="004B7B4A">
        <w:rPr>
          <w:rtl/>
        </w:rPr>
        <w:t xml:space="preserve"> 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ک</w:t>
      </w:r>
      <w:r w:rsidR="004B7B4A">
        <w:rPr>
          <w:rtl/>
        </w:rPr>
        <w:t xml:space="preserve"> فق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ه،</w:t>
      </w:r>
      <w:r w:rsidR="004B7B4A">
        <w:rPr>
          <w:rtl/>
        </w:rPr>
        <w:t xml:space="preserve"> س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ره‌ا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را در زمان خود مشاهده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کند</w:t>
      </w:r>
      <w:r w:rsidR="004B7B4A">
        <w:rPr>
          <w:rtl/>
        </w:rPr>
        <w:t xml:space="preserve"> و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گو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</w:t>
      </w:r>
      <w:r w:rsidR="004B7B4A">
        <w:rPr>
          <w:rtl/>
        </w:rPr>
        <w:t xml:space="preserve">: </w:t>
      </w:r>
      <w:r w:rsidR="001A5FED">
        <w:rPr>
          <w:rFonts w:hint="cs"/>
          <w:rtl/>
        </w:rPr>
        <w:t>این سیره تا زمان معصومین علیهم السلام بوده است</w:t>
      </w:r>
      <w:r w:rsidR="004B7B4A">
        <w:rPr>
          <w:rtl/>
        </w:rPr>
        <w:t>. وگرنه کسان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که ادعا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س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ره</w:t>
      </w:r>
      <w:r w:rsidR="004B7B4A">
        <w:rPr>
          <w:rtl/>
        </w:rPr>
        <w:t xml:space="preserve">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کنند،</w:t>
      </w:r>
      <w:r w:rsidR="004B7B4A">
        <w:rPr>
          <w:rtl/>
        </w:rPr>
        <w:t xml:space="preserve"> مگر در زمان وح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حضور داشته‌اند و اطلاع دارند؟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گو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</w:t>
      </w:r>
      <w:r w:rsidR="004B7B4A">
        <w:rPr>
          <w:rtl/>
        </w:rPr>
        <w:t xml:space="preserve"> س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ره</w:t>
      </w:r>
      <w:r w:rsidR="004B7B4A">
        <w:rPr>
          <w:rtl/>
        </w:rPr>
        <w:t xml:space="preserve"> اکنون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ن‌گونه</w:t>
      </w:r>
      <w:r w:rsidR="004B7B4A">
        <w:rPr>
          <w:rtl/>
        </w:rPr>
        <w:t xml:space="preserve"> است و شرط س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ره،</w:t>
      </w:r>
      <w:r w:rsidR="004B7B4A">
        <w:rPr>
          <w:rtl/>
        </w:rPr>
        <w:t xml:space="preserve"> اتصال آن به زمان وح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و ائمه (عل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هم‌السلام</w:t>
      </w:r>
      <w:r w:rsidR="004B7B4A">
        <w:rPr>
          <w:rtl/>
        </w:rPr>
        <w:t>) است.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اتصال را به هم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شکل ثابت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کند؛</w:t>
      </w:r>
      <w:r w:rsidR="004B7B4A">
        <w:rPr>
          <w:rtl/>
        </w:rPr>
        <w:t xml:space="preserve"> 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عن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آن زمان بوده و الان هم هم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ن‌طور</w:t>
      </w:r>
      <w:r w:rsidR="004B7B4A">
        <w:rPr>
          <w:rtl/>
        </w:rPr>
        <w:t xml:space="preserve"> است و غ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ر</w:t>
      </w:r>
      <w:r w:rsidR="004B7B4A">
        <w:rPr>
          <w:rtl/>
        </w:rPr>
        <w:t xml:space="preserve"> از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را تا به حال نشن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ده‌ا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م</w:t>
      </w:r>
      <w:r w:rsidR="004B7B4A">
        <w:rPr>
          <w:rtl/>
        </w:rPr>
        <w:t xml:space="preserve">. </w:t>
      </w:r>
      <w:r w:rsidR="001A5FED">
        <w:rPr>
          <w:rFonts w:hint="cs"/>
          <w:rtl/>
        </w:rPr>
        <w:t xml:space="preserve">زنان، </w:t>
      </w:r>
      <w:r w:rsidR="004B7B4A">
        <w:rPr>
          <w:rtl/>
        </w:rPr>
        <w:t>عادتشان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است که برا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پوشاندن مو، خمار قرار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دهند؛</w:t>
      </w:r>
      <w:r w:rsidR="004B7B4A">
        <w:rPr>
          <w:rtl/>
        </w:rPr>
        <w:t xml:space="preserve"> خمار را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زنند</w:t>
      </w:r>
      <w:r w:rsidR="004B7B4A">
        <w:rPr>
          <w:rtl/>
        </w:rPr>
        <w:t xml:space="preserve"> تا مو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خود را بپوشانند.</w:t>
      </w:r>
    </w:p>
    <w:p w14:paraId="546EBCC1" w14:textId="77777777" w:rsidR="001A5FED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شروع به ذکر نصوص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امر به خمار کرده‌اند.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آنگاه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که ستر مو واجب است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خمار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تا الان استدلال کرده بود، برخ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>
        <w:rPr>
          <w:rtl/>
        </w:rPr>
        <w:lastRenderedPageBreak/>
        <w:t>کرده‌اند</w:t>
      </w:r>
      <w:r w:rsidR="001A5FED">
        <w:rPr>
          <w:rFonts w:hint="cs"/>
          <w:rtl/>
        </w:rPr>
        <w:t xml:space="preserve"> که مخالف، </w:t>
      </w:r>
      <w:r>
        <w:rPr>
          <w:rtl/>
        </w:rPr>
        <w:t>«صاحب مدارک»</w:t>
      </w:r>
      <w:r w:rsidR="001A5FED">
        <w:rPr>
          <w:rFonts w:hint="cs"/>
          <w:rtl/>
        </w:rPr>
        <w:t xml:space="preserve"> است که</w:t>
      </w:r>
      <w:r>
        <w:rPr>
          <w:rtl/>
        </w:rPr>
        <w:t xml:space="preserve"> پوشش مو</w:t>
      </w:r>
      <w:r w:rsidR="001A5FED">
        <w:rPr>
          <w:rFonts w:hint="cs"/>
          <w:rtl/>
        </w:rPr>
        <w:t xml:space="preserve"> را</w:t>
      </w:r>
      <w:r>
        <w:rPr>
          <w:rtl/>
        </w:rPr>
        <w:t xml:space="preserve"> واجب ن</w:t>
      </w:r>
      <w:r w:rsidR="001A5FED">
        <w:rPr>
          <w:rFonts w:hint="cs"/>
          <w:rtl/>
        </w:rPr>
        <w:t>دانسته است</w:t>
      </w:r>
      <w:r>
        <w:rPr>
          <w:rtl/>
        </w:rPr>
        <w:t>.</w:t>
      </w:r>
      <w:r w:rsidR="001A5FED">
        <w:rPr>
          <w:rFonts w:hint="cs"/>
          <w:rtl/>
        </w:rPr>
        <w:t xml:space="preserve"> 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tl/>
        </w:rPr>
        <w:t xml:space="preserve"> با «صاحب مدارک»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باشد پوشش مو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14:paraId="7ADBAA84" w14:textId="27F5DEAD" w:rsidR="004B7B4A" w:rsidRDefault="001A5FED" w:rsidP="00E33E15">
      <w:pPr>
        <w:ind w:firstLine="157"/>
        <w:rPr>
          <w:rtl/>
        </w:rPr>
      </w:pPr>
      <w:r>
        <w:rPr>
          <w:rFonts w:hint="cs"/>
          <w:rtl/>
        </w:rPr>
        <w:t xml:space="preserve">البته از </w:t>
      </w:r>
      <w:r w:rsidR="004B7B4A">
        <w:rPr>
          <w:rtl/>
        </w:rPr>
        <w:t>«قاض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ابن براج» که خود از قدماست،</w:t>
      </w:r>
      <w:r>
        <w:rPr>
          <w:rFonts w:hint="cs"/>
          <w:rtl/>
        </w:rPr>
        <w:t xml:space="preserve"> نقل شده که ایشان</w:t>
      </w:r>
      <w:r w:rsidR="004B7B4A">
        <w:rPr>
          <w:rtl/>
        </w:rPr>
        <w:t xml:space="preserve"> م</w:t>
      </w:r>
      <w:r w:rsidR="004B7B4A">
        <w:rPr>
          <w:rFonts w:hint="cs"/>
          <w:rtl/>
        </w:rPr>
        <w:t>ی‌</w:t>
      </w:r>
      <w:r w:rsidR="004B7B4A">
        <w:rPr>
          <w:rFonts w:hint="eastAsia"/>
          <w:rtl/>
        </w:rPr>
        <w:t>گو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</w:t>
      </w:r>
      <w:r w:rsidR="004B7B4A">
        <w:rPr>
          <w:rtl/>
        </w:rPr>
        <w:t xml:space="preserve"> در «شرح جمل» به نحو مجهول‌القائل، حکا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ت</w:t>
      </w:r>
      <w:r w:rsidR="004B7B4A">
        <w:rPr>
          <w:rtl/>
        </w:rPr>
        <w:t xml:space="preserve"> شده است از بعض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اصحاب ما که آن‌ها 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ز</w:t>
      </w:r>
      <w:r w:rsidR="004B7B4A">
        <w:rPr>
          <w:rtl/>
        </w:rPr>
        <w:t xml:space="preserve"> قائل به عدم وجوب بوده‌اند. </w:t>
      </w:r>
      <w:r w:rsidR="004B7B4A">
        <w:rPr>
          <w:rFonts w:hint="eastAsia"/>
          <w:rtl/>
        </w:rPr>
        <w:t>اسمشان</w:t>
      </w:r>
      <w:r w:rsidR="004B7B4A">
        <w:rPr>
          <w:rtl/>
        </w:rPr>
        <w:t xml:space="preserve"> را هم نبرده، فقط گفته "حُكِيَ". بعد از او، «صاحب مدارک» ا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ن</w:t>
      </w:r>
      <w:r w:rsidR="004B7B4A">
        <w:rPr>
          <w:rtl/>
        </w:rPr>
        <w:t xml:space="preserve"> قول را گفته است. د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گر</w:t>
      </w:r>
      <w:r w:rsidR="004B7B4A">
        <w:rPr>
          <w:rtl/>
        </w:rPr>
        <w:t xml:space="preserve"> در کل اصحاب ما، کس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را موافق با «صاحب مدارک» ند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دم</w:t>
      </w:r>
      <w:r w:rsidR="004B7B4A">
        <w:rPr>
          <w:rtl/>
        </w:rPr>
        <w:t>.</w:t>
      </w:r>
    </w:p>
    <w:p w14:paraId="756633E9" w14:textId="77777777" w:rsidR="001A5FED" w:rsidRDefault="001A5FED" w:rsidP="00E33E15">
      <w:pPr>
        <w:ind w:firstLine="157"/>
        <w:rPr>
          <w:rtl/>
        </w:rPr>
      </w:pPr>
      <w:r>
        <w:rPr>
          <w:rFonts w:hint="cs"/>
          <w:rtl/>
        </w:rPr>
        <w:t xml:space="preserve">سپس صاحب جواهر فرموده که </w:t>
      </w:r>
      <w:r w:rsidR="004B7B4A">
        <w:rPr>
          <w:rtl/>
        </w:rPr>
        <w:t>شک</w:t>
      </w:r>
      <w:r w:rsidR="004B7B4A">
        <w:rPr>
          <w:rFonts w:hint="cs"/>
          <w:rtl/>
        </w:rPr>
        <w:t>ی</w:t>
      </w:r>
      <w:r w:rsidR="004B7B4A">
        <w:rPr>
          <w:rtl/>
        </w:rPr>
        <w:t xml:space="preserve"> در ضعف کلام «صاحب مدارک» 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ست،</w:t>
      </w:r>
      <w:r w:rsidR="004B7B4A">
        <w:rPr>
          <w:rtl/>
        </w:rPr>
        <w:t xml:space="preserve"> </w:t>
      </w:r>
      <w:r>
        <w:rPr>
          <w:rFonts w:hint="cs"/>
          <w:rtl/>
        </w:rPr>
        <w:t xml:space="preserve">و </w:t>
      </w:r>
      <w:r w:rsidR="004B7B4A">
        <w:rPr>
          <w:rtl/>
        </w:rPr>
        <w:t>همان‌طور که قولش ضع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ف</w:t>
      </w:r>
      <w:r w:rsidR="004B7B4A">
        <w:rPr>
          <w:rtl/>
        </w:rPr>
        <w:t xml:space="preserve"> است، مستندش ن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ز</w:t>
      </w:r>
      <w:r w:rsidR="004B7B4A">
        <w:rPr>
          <w:rtl/>
        </w:rPr>
        <w:t xml:space="preserve"> ضع</w:t>
      </w:r>
      <w:r w:rsidR="004B7B4A">
        <w:rPr>
          <w:rFonts w:hint="cs"/>
          <w:rtl/>
        </w:rPr>
        <w:t>ی</w:t>
      </w:r>
      <w:r w:rsidR="004B7B4A">
        <w:rPr>
          <w:rFonts w:hint="eastAsia"/>
          <w:rtl/>
        </w:rPr>
        <w:t>ف</w:t>
      </w:r>
      <w:r w:rsidR="004B7B4A">
        <w:rPr>
          <w:rtl/>
        </w:rPr>
        <w:t xml:space="preserve"> است. </w:t>
      </w:r>
    </w:p>
    <w:p w14:paraId="46504257" w14:textId="36AE2DAB" w:rsidR="001A5FED" w:rsidRDefault="001A5FED" w:rsidP="00E33E15">
      <w:pPr>
        <w:ind w:firstLine="157"/>
        <w:rPr>
          <w:rtl/>
        </w:rPr>
      </w:pPr>
      <w:r>
        <w:rPr>
          <w:rFonts w:hint="cs"/>
          <w:rtl/>
        </w:rPr>
        <w:t xml:space="preserve">مستند صاحب مدارک، اصل است. که صاحب جواهر این اصل را مقطوع می داند، یعنی با آنچه که بیان شد، که همان نصوص و اقوال فقهاء و شهرت عظیمه است، دیگر جایی برای این اصل باقی نمی ماند. </w:t>
      </w:r>
    </w:p>
    <w:p w14:paraId="4A8C6A63" w14:textId="2B5CCA96" w:rsidR="004B7B4A" w:rsidRDefault="004B7B4A" w:rsidP="00E33E15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A5FED">
        <w:rPr>
          <w:rtl/>
        </w:rPr>
        <w:t xml:space="preserve"> </w:t>
      </w:r>
      <w:r>
        <w:rPr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1A5FED">
        <w:rPr>
          <w:rtl/>
        </w:rPr>
        <w:t>صاحب جواهر</w:t>
      </w:r>
      <w:r w:rsidR="001A5FED">
        <w:rPr>
          <w:rFonts w:hint="cs"/>
          <w:rtl/>
        </w:rPr>
        <w:t xml:space="preserve"> از قول صاحب مدارک بیان کرده است</w:t>
      </w:r>
      <w:r>
        <w:rPr>
          <w:rtl/>
        </w:rPr>
        <w:t xml:space="preserve">، در واقع همان «اصل برائت»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«استصحاب»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14:paraId="57A97CDA" w14:textId="3E524D93" w:rsidR="00552E56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دو سطر بعد که محل بحث ما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A5FED">
        <w:rPr>
          <w:rFonts w:hint="cs"/>
          <w:rtl/>
        </w:rPr>
        <w:t xml:space="preserve"> که </w:t>
      </w:r>
      <w:r>
        <w:rPr>
          <w:rtl/>
        </w:rPr>
        <w:t>ما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مو و سر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مواضع بدن زن</w:t>
      </w:r>
      <w:r w:rsidR="00552E56">
        <w:rPr>
          <w:rFonts w:hint="cs"/>
          <w:rtl/>
        </w:rPr>
        <w:t xml:space="preserve">، </w:t>
      </w:r>
      <w:r w:rsidR="00552E56">
        <w:rPr>
          <w:rtl/>
        </w:rPr>
        <w:t>م</w:t>
      </w:r>
      <w:r w:rsidR="00552E56">
        <w:rPr>
          <w:rFonts w:hint="cs"/>
          <w:rtl/>
        </w:rPr>
        <w:t>ی‌</w:t>
      </w:r>
      <w:r w:rsidR="00552E56">
        <w:rPr>
          <w:rFonts w:hint="eastAsia"/>
          <w:rtl/>
        </w:rPr>
        <w:t>توان</w:t>
      </w:r>
      <w:r w:rsidR="00552E56">
        <w:rPr>
          <w:rFonts w:hint="cs"/>
          <w:rtl/>
        </w:rPr>
        <w:t>ی</w:t>
      </w:r>
      <w:r w:rsidR="00552E56">
        <w:rPr>
          <w:rFonts w:hint="eastAsia"/>
          <w:rtl/>
        </w:rPr>
        <w:t>م</w:t>
      </w:r>
      <w:r w:rsidR="00552E56">
        <w:rPr>
          <w:rtl/>
        </w:rPr>
        <w:t xml:space="preserve"> وجه و کف</w:t>
      </w:r>
      <w:r w:rsidR="00552E56">
        <w:rPr>
          <w:rFonts w:hint="cs"/>
          <w:rtl/>
        </w:rPr>
        <w:t>ی</w:t>
      </w:r>
      <w:r w:rsidR="00552E56">
        <w:rPr>
          <w:rFonts w:hint="eastAsia"/>
          <w:rtl/>
        </w:rPr>
        <w:t>ن</w:t>
      </w:r>
      <w:r w:rsidR="00552E56">
        <w:rPr>
          <w:rtl/>
        </w:rPr>
        <w:t xml:space="preserve"> و قدم</w:t>
      </w:r>
      <w:r w:rsidR="00552E56">
        <w:rPr>
          <w:rFonts w:hint="cs"/>
          <w:rtl/>
        </w:rPr>
        <w:t>ی</w:t>
      </w:r>
      <w:r w:rsidR="00552E56">
        <w:rPr>
          <w:rFonts w:hint="eastAsia"/>
          <w:rtl/>
        </w:rPr>
        <w:t>ن</w:t>
      </w:r>
      <w:r w:rsidR="00552E56">
        <w:rPr>
          <w:rtl/>
        </w:rPr>
        <w:t xml:space="preserve"> را</w:t>
      </w:r>
      <w:r w:rsidR="00552E56">
        <w:rPr>
          <w:rFonts w:hint="cs"/>
          <w:rtl/>
        </w:rPr>
        <w:t xml:space="preserve"> </w:t>
      </w:r>
      <w:r>
        <w:rPr>
          <w:rtl/>
        </w:rPr>
        <w:t>استثناء کن</w:t>
      </w:r>
      <w:r>
        <w:rPr>
          <w:rFonts w:hint="cs"/>
          <w:rtl/>
        </w:rPr>
        <w:t>ی</w:t>
      </w:r>
      <w:r w:rsidR="00552E56">
        <w:rPr>
          <w:rFonts w:hint="eastAsia"/>
          <w:rtl/>
        </w:rPr>
        <w:t>م</w:t>
      </w:r>
      <w:r w:rsidR="00552E56">
        <w:rPr>
          <w:rFonts w:hint="cs"/>
          <w:rtl/>
        </w:rPr>
        <w:t>.</w:t>
      </w:r>
    </w:p>
    <w:p w14:paraId="207186EF" w14:textId="070D68FD" w:rsidR="00552E56" w:rsidRDefault="00552E56" w:rsidP="00E33E15">
      <w:pPr>
        <w:ind w:firstLine="157"/>
        <w:rPr>
          <w:rtl/>
        </w:rPr>
      </w:pPr>
      <w:r>
        <w:rPr>
          <w:rFonts w:hint="cs"/>
          <w:rtl/>
        </w:rPr>
        <w:t xml:space="preserve">دلیلی که ایشان برای این مطلب ذکر می کند اصل است. </w:t>
      </w:r>
    </w:p>
    <w:p w14:paraId="59259876" w14:textId="109EC81B" w:rsidR="004B7B4A" w:rsidRDefault="004B7B4A" w:rsidP="00E33E15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وجه استثناء را «اصل استصحاب»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«اصل برائت»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«صاحب جواهر»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باور کرد.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«استثناء»؛ مگر «اصل»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را استثناء بزند؟ ادله‌ا</w:t>
      </w:r>
      <w:r>
        <w:rPr>
          <w:rFonts w:hint="cs"/>
          <w:rtl/>
        </w:rPr>
        <w:t>ی</w:t>
      </w:r>
      <w:r>
        <w:rPr>
          <w:rtl/>
        </w:rPr>
        <w:t xml:space="preserve"> که تا الان برا</w:t>
      </w:r>
      <w:r>
        <w:rPr>
          <w:rFonts w:hint="cs"/>
          <w:rtl/>
        </w:rPr>
        <w:t>ی</w:t>
      </w:r>
      <w:r>
        <w:rPr>
          <w:rtl/>
        </w:rPr>
        <w:t xml:space="preserve"> وجوب ستر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مواضع بدن </w:t>
      </w:r>
      <w:r w:rsidR="00552E56">
        <w:rPr>
          <w:rFonts w:hint="cs"/>
          <w:rtl/>
        </w:rPr>
        <w:t>ذکر شد،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و لفظ</w:t>
      </w:r>
      <w:r>
        <w:rPr>
          <w:rFonts w:hint="cs"/>
          <w:rtl/>
        </w:rPr>
        <w:t>ی</w:t>
      </w:r>
      <w:r>
        <w:rPr>
          <w:rtl/>
        </w:rPr>
        <w:t xml:space="preserve"> بود، مستظهر از دلالت لفظ</w:t>
      </w:r>
      <w:r>
        <w:rPr>
          <w:rFonts w:hint="cs"/>
          <w:rtl/>
        </w:rPr>
        <w:t>ی</w:t>
      </w:r>
      <w:r>
        <w:rPr>
          <w:rtl/>
        </w:rPr>
        <w:t xml:space="preserve"> نصوص،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اصل برائت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علم و فقاهت «صاحب جواهر»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</w:t>
      </w:r>
      <w:r w:rsidRPr="00552E56">
        <w:rPr>
          <w:highlight w:val="yellow"/>
          <w:rtl/>
        </w:rPr>
        <w:t>به خاطر هم</w:t>
      </w:r>
      <w:r w:rsidRPr="00552E56">
        <w:rPr>
          <w:rFonts w:hint="cs"/>
          <w:highlight w:val="yellow"/>
          <w:rtl/>
        </w:rPr>
        <w:t>ی</w:t>
      </w:r>
      <w:r w:rsidRPr="00552E56">
        <w:rPr>
          <w:rFonts w:hint="eastAsia"/>
          <w:highlight w:val="yellow"/>
          <w:rtl/>
        </w:rPr>
        <w:t>ن</w:t>
      </w:r>
      <w:r w:rsidRPr="00552E56">
        <w:rPr>
          <w:highlight w:val="yellow"/>
          <w:rtl/>
        </w:rPr>
        <w:t xml:space="preserve"> است که ما گفت</w:t>
      </w:r>
      <w:r w:rsidRPr="00552E56">
        <w:rPr>
          <w:rFonts w:hint="cs"/>
          <w:highlight w:val="yellow"/>
          <w:rtl/>
        </w:rPr>
        <w:t>ی</w:t>
      </w:r>
      <w:r w:rsidRPr="00552E56">
        <w:rPr>
          <w:rFonts w:hint="eastAsia"/>
          <w:highlight w:val="yellow"/>
          <w:rtl/>
        </w:rPr>
        <w:t>م</w:t>
      </w:r>
      <w:r w:rsidRPr="00552E56">
        <w:rPr>
          <w:highlight w:val="yellow"/>
          <w:rtl/>
        </w:rPr>
        <w:t xml:space="preserve"> </w:t>
      </w:r>
      <w:r>
        <w:rPr>
          <w:rtl/>
        </w:rPr>
        <w:t>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"لِلْأَصْلِ"،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اطلاق "إِلَّا مَا ظَهَرَ" باشد.</w:t>
      </w:r>
    </w:p>
    <w:p w14:paraId="29C35C88" w14:textId="77777777" w:rsidR="004B7B4A" w:rsidRDefault="004B7B4A" w:rsidP="00E33E15">
      <w:pPr>
        <w:ind w:firstLine="157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"إِلَّا مَا ظَهَرَ" دو شق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آنکه از بدن به صورت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ظاهر شود، مثلاً با وزش باد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حالت غفلت.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خارج است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ندارد.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گفته‌اند.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دوم، که نصوص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مقصود از "مَا ظَهَرَ"، 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موافق با همان مطلب</w:t>
      </w:r>
      <w:r>
        <w:rPr>
          <w:rFonts w:hint="cs"/>
          <w:rtl/>
        </w:rPr>
        <w:t>ی</w:t>
      </w:r>
      <w:r>
        <w:rPr>
          <w:rtl/>
        </w:rPr>
        <w:t xml:space="preserve"> است که «صاحب جواهر» قبلاً گفته بود که خمار برا</w:t>
      </w:r>
      <w:r>
        <w:rPr>
          <w:rFonts w:hint="cs"/>
          <w:rtl/>
        </w:rPr>
        <w:t>ی</w:t>
      </w:r>
      <w:r>
        <w:rPr>
          <w:rtl/>
        </w:rPr>
        <w:t xml:space="preserve"> پوشاندن سر و مو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نه وجه. پس امر به خمار، وجوب پوشش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را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66F602B" w14:textId="77777777" w:rsidR="00552E56" w:rsidRDefault="004B7B4A" w:rsidP="00E33E15">
      <w:pPr>
        <w:ind w:firstLine="157"/>
        <w:rPr>
          <w:rtl/>
        </w:rPr>
      </w:pPr>
      <w:r w:rsidRPr="00552E56">
        <w:rPr>
          <w:rFonts w:hint="eastAsia"/>
          <w:highlight w:val="yellow"/>
          <w:rtl/>
        </w:rPr>
        <w:lastRenderedPageBreak/>
        <w:t>در</w:t>
      </w:r>
      <w:r w:rsidRPr="00552E56">
        <w:rPr>
          <w:highlight w:val="yellow"/>
          <w:rtl/>
        </w:rPr>
        <w:t xml:space="preserve"> مجموع، م</w:t>
      </w:r>
      <w:r w:rsidRPr="00552E56">
        <w:rPr>
          <w:rFonts w:hint="cs"/>
          <w:highlight w:val="yellow"/>
          <w:rtl/>
        </w:rPr>
        <w:t>ی‌</w:t>
      </w:r>
      <w:r w:rsidRPr="00552E56">
        <w:rPr>
          <w:rFonts w:hint="eastAsia"/>
          <w:highlight w:val="yellow"/>
          <w:rtl/>
        </w:rPr>
        <w:t>خواه</w:t>
      </w:r>
      <w:r w:rsidRPr="00552E56">
        <w:rPr>
          <w:rFonts w:hint="cs"/>
          <w:highlight w:val="yellow"/>
          <w:rtl/>
        </w:rPr>
        <w:t>ی</w:t>
      </w:r>
      <w:r w:rsidRPr="00552E56">
        <w:rPr>
          <w:rFonts w:hint="eastAsia"/>
          <w:highlight w:val="yellow"/>
          <w:rtl/>
        </w:rPr>
        <w:t>م</w:t>
      </w:r>
      <w:r w:rsidRPr="00552E56">
        <w:rPr>
          <w:highlight w:val="yellow"/>
          <w:rtl/>
        </w:rPr>
        <w:t xml:space="preserve"> بگو</w:t>
      </w:r>
      <w:r w:rsidRPr="00552E56">
        <w:rPr>
          <w:rFonts w:hint="cs"/>
          <w:highlight w:val="yellow"/>
          <w:rtl/>
        </w:rPr>
        <w:t>یی</w:t>
      </w:r>
      <w:r w:rsidRPr="00552E56">
        <w:rPr>
          <w:rFonts w:hint="eastAsia"/>
          <w:highlight w:val="yellow"/>
          <w:rtl/>
        </w:rPr>
        <w:t>م</w:t>
      </w:r>
      <w:r w:rsidRPr="00552E56">
        <w:rPr>
          <w:highlight w:val="yellow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«اصل»، همان اطلاق "مَا ظَهَرَ" است. </w:t>
      </w:r>
    </w:p>
    <w:p w14:paraId="5B9E5D65" w14:textId="42E484C3" w:rsidR="00116970" w:rsidRDefault="004B7B4A" w:rsidP="00E33E15">
      <w:pPr>
        <w:ind w:firstLine="157"/>
        <w:rPr>
          <w:rtl/>
        </w:rPr>
      </w:pPr>
      <w:r>
        <w:rPr>
          <w:rtl/>
        </w:rPr>
        <w:t>حال اگر کس</w:t>
      </w:r>
      <w:r>
        <w:rPr>
          <w:rFonts w:hint="cs"/>
          <w:rtl/>
        </w:rPr>
        <w:t>ی</w:t>
      </w:r>
      <w:r>
        <w:rPr>
          <w:rtl/>
        </w:rPr>
        <w:t xml:space="preserve"> شک بکند، مقتضا</w:t>
      </w:r>
      <w:r>
        <w:rPr>
          <w:rFonts w:hint="cs"/>
          <w:rtl/>
        </w:rPr>
        <w:t>ی</w:t>
      </w:r>
      <w:r>
        <w:rPr>
          <w:rtl/>
        </w:rPr>
        <w:t xml:space="preserve"> قاعده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عموم وجوب ستر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پوشانده شود.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داخل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اصول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"تَحْكِيمُ الْعَامِّ أَوِ الْإِطْلَا</w:t>
      </w:r>
      <w:r>
        <w:rPr>
          <w:rFonts w:hint="eastAsia"/>
          <w:rtl/>
        </w:rPr>
        <w:t>قِ</w:t>
      </w:r>
      <w:r>
        <w:rPr>
          <w:rtl/>
        </w:rPr>
        <w:t xml:space="preserve"> فِي الشُّبْهَةِ الْمَفْهُومِيَّةِ الدَّائِرَةِ بَيْنَ الْأَقَلِّ وَ الْأَكْثَرِ مِنْ دَلِيلِ الْخَاصِّ". وقت</w:t>
      </w:r>
      <w:r>
        <w:rPr>
          <w:rFonts w:hint="cs"/>
          <w:rtl/>
        </w:rPr>
        <w:t>ی</w:t>
      </w:r>
      <w:r>
        <w:rPr>
          <w:rtl/>
        </w:rPr>
        <w:t xml:space="preserve"> عام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خاص</w:t>
      </w:r>
      <w:r>
        <w:rPr>
          <w:rFonts w:hint="cs"/>
          <w:rtl/>
        </w:rPr>
        <w:t>ی</w:t>
      </w:r>
      <w:r>
        <w:rPr>
          <w:rtl/>
        </w:rPr>
        <w:t xml:space="preserve"> که موضوعش مفهوماً مردد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اقل و اکثر است (مانند "أَكْرِمِ الْعُلَمَاءَ إِلَّا الْفُسَّاقَ مِنْهُمْ" که در شمول «فاسق</w:t>
      </w:r>
      <w:r>
        <w:rPr>
          <w:rFonts w:hint="eastAsia"/>
          <w:rtl/>
        </w:rPr>
        <w:t>»</w:t>
      </w:r>
      <w:r>
        <w:rPr>
          <w:rtl/>
        </w:rPr>
        <w:t xml:space="preserve"> بر مرتکب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به عموم عام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"لَا يُبْدِينَ زِينَتَهُنَّ"، حرمت ابداء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"إِلَّا مَا ظَهَرَ مِنْهَا".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"مَا ظَهَرَ" مخصِّص است و موضوعش مردد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(ظهور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 و قدر زائد (وجه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). در شک، مقتضا</w:t>
      </w:r>
      <w:r>
        <w:rPr>
          <w:rFonts w:hint="cs"/>
          <w:rtl/>
        </w:rPr>
        <w:t>ی</w:t>
      </w:r>
      <w:r>
        <w:rPr>
          <w:rtl/>
        </w:rPr>
        <w:t xml:space="preserve"> قاعده، رجوع به عموم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 ستر.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عکس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«صاحب جواهر» به دنبال آن بود؛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استثناء را ثابت کند، اما مقتضا</w:t>
      </w:r>
      <w:r>
        <w:rPr>
          <w:rFonts w:hint="cs"/>
          <w:rtl/>
        </w:rPr>
        <w:t>ی</w:t>
      </w:r>
      <w:r>
        <w:rPr>
          <w:rtl/>
        </w:rPr>
        <w:t xml:space="preserve"> قاعده در هنگام شک، عدم استثناء است. ول</w:t>
      </w:r>
      <w:r>
        <w:rPr>
          <w:rFonts w:hint="cs"/>
          <w:rtl/>
        </w:rPr>
        <w:t>ی</w:t>
      </w:r>
      <w:r>
        <w:rPr>
          <w:rtl/>
        </w:rPr>
        <w:t xml:space="preserve"> همان‌طور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ا</w:t>
      </w:r>
      <w:r>
        <w:rPr>
          <w:rFonts w:hint="eastAsia"/>
          <w:rtl/>
        </w:rPr>
        <w:t>طلاق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 محکم است و شک‌بردار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نصوص، "مَا ظَهَرَ"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(وجه و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کرده‌اند.</w:t>
      </w:r>
    </w:p>
    <w:sectPr w:rsidR="0011697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59DA" w14:textId="77777777" w:rsidR="002C5532" w:rsidRDefault="002C5532" w:rsidP="00DB25E6">
      <w:pPr>
        <w:spacing w:after="0" w:line="240" w:lineRule="auto"/>
      </w:pPr>
      <w:r>
        <w:separator/>
      </w:r>
    </w:p>
  </w:endnote>
  <w:endnote w:type="continuationSeparator" w:id="0">
    <w:p w14:paraId="0476FDA6" w14:textId="77777777" w:rsidR="002C5532" w:rsidRDefault="002C5532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E33E15" w:rsidRPr="00E33E15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E33E15" w:rsidRPr="00E33E15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BED6" w14:textId="77777777" w:rsidR="002C5532" w:rsidRDefault="002C5532" w:rsidP="00DB25E6">
      <w:pPr>
        <w:spacing w:after="0" w:line="240" w:lineRule="auto"/>
      </w:pPr>
      <w:r>
        <w:separator/>
      </w:r>
    </w:p>
  </w:footnote>
  <w:footnote w:type="continuationSeparator" w:id="0">
    <w:p w14:paraId="01E98846" w14:textId="77777777" w:rsidR="002C5532" w:rsidRDefault="002C5532" w:rsidP="00DB25E6">
      <w:pPr>
        <w:spacing w:after="0" w:line="240" w:lineRule="auto"/>
      </w:pPr>
      <w:r>
        <w:continuationSeparator/>
      </w:r>
    </w:p>
  </w:footnote>
  <w:footnote w:id="1">
    <w:p w14:paraId="558F4848" w14:textId="77777777" w:rsidR="003B37C3" w:rsidRPr="009833DF" w:rsidRDefault="003B37C3" w:rsidP="003B37C3">
      <w:pPr>
        <w:pStyle w:val="FootnoteText"/>
        <w:rPr>
          <w:rtl/>
        </w:rPr>
      </w:pPr>
      <w:r w:rsidRPr="009833DF">
        <w:footnoteRef/>
      </w:r>
      <w:r w:rsidRPr="009833DF">
        <w:rPr>
          <w:rtl/>
        </w:rPr>
        <w:t xml:space="preserve"> </w:t>
      </w:r>
      <w:hyperlink r:id="rId1" w:history="1">
        <w:r w:rsidRPr="009833DF">
          <w:rPr>
            <w:rStyle w:val="Hyperlink"/>
            <w:rFonts w:hint="cs"/>
            <w:rtl/>
          </w:rPr>
          <w:t>الكافي</w:t>
        </w:r>
        <w:r w:rsidRPr="009833DF">
          <w:rPr>
            <w:rStyle w:val="Hyperlink"/>
            <w:rtl/>
          </w:rPr>
          <w:t xml:space="preserve">- </w:t>
        </w:r>
        <w:r w:rsidRPr="009833DF">
          <w:rPr>
            <w:rStyle w:val="Hyperlink"/>
            <w:rFonts w:hint="cs"/>
            <w:rtl/>
          </w:rPr>
          <w:t>ط</w:t>
        </w:r>
        <w:r w:rsidRPr="009833DF">
          <w:rPr>
            <w:rStyle w:val="Hyperlink"/>
            <w:rtl/>
          </w:rPr>
          <w:t xml:space="preserve"> </w:t>
        </w:r>
        <w:r w:rsidRPr="009833DF">
          <w:rPr>
            <w:rStyle w:val="Hyperlink"/>
            <w:rFonts w:hint="cs"/>
            <w:rtl/>
          </w:rPr>
          <w:t>الاسلامية،</w:t>
        </w:r>
        <w:r w:rsidRPr="009833DF">
          <w:rPr>
            <w:rStyle w:val="Hyperlink"/>
            <w:rtl/>
          </w:rPr>
          <w:t xml:space="preserve"> </w:t>
        </w:r>
        <w:r w:rsidRPr="009833DF">
          <w:rPr>
            <w:rStyle w:val="Hyperlink"/>
            <w:rFonts w:hint="cs"/>
            <w:rtl/>
          </w:rPr>
          <w:t>الشيخ</w:t>
        </w:r>
        <w:r w:rsidRPr="009833DF">
          <w:rPr>
            <w:rStyle w:val="Hyperlink"/>
            <w:rtl/>
          </w:rPr>
          <w:t xml:space="preserve"> </w:t>
        </w:r>
        <w:r w:rsidRPr="009833DF">
          <w:rPr>
            <w:rStyle w:val="Hyperlink"/>
            <w:rFonts w:hint="cs"/>
            <w:rtl/>
          </w:rPr>
          <w:t>الكليني،</w:t>
        </w:r>
        <w:r w:rsidRPr="009833DF">
          <w:rPr>
            <w:rStyle w:val="Hyperlink"/>
            <w:rtl/>
          </w:rPr>
          <w:t xml:space="preserve"> </w:t>
        </w:r>
        <w:r w:rsidRPr="009833DF">
          <w:rPr>
            <w:rStyle w:val="Hyperlink"/>
            <w:rFonts w:hint="cs"/>
            <w:rtl/>
          </w:rPr>
          <w:t>ج</w:t>
        </w:r>
        <w:r w:rsidRPr="009833DF">
          <w:rPr>
            <w:rStyle w:val="Hyperlink"/>
            <w:rtl/>
          </w:rPr>
          <w:t>6</w:t>
        </w:r>
        <w:r w:rsidRPr="009833DF">
          <w:rPr>
            <w:rStyle w:val="Hyperlink"/>
            <w:rFonts w:hint="cs"/>
            <w:rtl/>
          </w:rPr>
          <w:t>،</w:t>
        </w:r>
        <w:r w:rsidRPr="009833DF">
          <w:rPr>
            <w:rStyle w:val="Hyperlink"/>
            <w:rtl/>
          </w:rPr>
          <w:t xml:space="preserve"> </w:t>
        </w:r>
        <w:r w:rsidRPr="009833DF">
          <w:rPr>
            <w:rStyle w:val="Hyperlink"/>
            <w:rFonts w:hint="cs"/>
            <w:rtl/>
          </w:rPr>
          <w:t>ص</w:t>
        </w:r>
        <w:r w:rsidRPr="009833DF">
          <w:rPr>
            <w:rStyle w:val="Hyperlink"/>
            <w:rtl/>
          </w:rPr>
          <w:t>497.</w:t>
        </w:r>
      </w:hyperlink>
    </w:p>
  </w:footnote>
  <w:footnote w:id="2">
    <w:p w14:paraId="45CBA13F" w14:textId="3B79EB41" w:rsidR="003B37C3" w:rsidRPr="003B37C3" w:rsidRDefault="003B37C3" w:rsidP="00E33E15">
      <w:pPr>
        <w:pStyle w:val="FootnoteText"/>
        <w:rPr>
          <w:rtl/>
        </w:rPr>
      </w:pPr>
      <w:r w:rsidRPr="003B37C3">
        <w:footnoteRef/>
      </w:r>
      <w:r w:rsidRPr="003B37C3">
        <w:rPr>
          <w:rtl/>
        </w:rPr>
        <w:t xml:space="preserve"> </w:t>
      </w:r>
      <w:hyperlink r:id="rId2" w:history="1">
        <w:r w:rsidRPr="003B37C3">
          <w:rPr>
            <w:rStyle w:val="Hyperlink"/>
            <w:rFonts w:hint="cs"/>
            <w:rtl/>
          </w:rPr>
          <w:t>العين،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الخليل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بن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أحمد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الفراهيدي،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ج</w:t>
        </w:r>
        <w:r w:rsidR="00E33E15">
          <w:rPr>
            <w:rStyle w:val="Hyperlink"/>
            <w:rFonts w:hint="cs"/>
            <w:rtl/>
          </w:rPr>
          <w:t>7</w:t>
        </w:r>
        <w:r w:rsidRPr="003B37C3">
          <w:rPr>
            <w:rStyle w:val="Hyperlink"/>
            <w:rFonts w:hint="cs"/>
            <w:rtl/>
          </w:rPr>
          <w:t>،</w:t>
        </w:r>
        <w:r w:rsidRPr="003B37C3">
          <w:rPr>
            <w:rStyle w:val="Hyperlink"/>
            <w:rtl/>
          </w:rPr>
          <w:t xml:space="preserve"> </w:t>
        </w:r>
        <w:r w:rsidRPr="003B37C3">
          <w:rPr>
            <w:rStyle w:val="Hyperlink"/>
            <w:rFonts w:hint="cs"/>
            <w:rtl/>
          </w:rPr>
          <w:t>ص</w:t>
        </w:r>
        <w:r w:rsidR="00E33E15">
          <w:rPr>
            <w:rStyle w:val="Hyperlink"/>
            <w:rFonts w:hint="cs"/>
            <w:rtl/>
          </w:rPr>
          <w:t>236</w:t>
        </w:r>
        <w:r w:rsidRPr="003B37C3">
          <w:rPr>
            <w:rStyle w:val="Hyperlink"/>
            <w:rtl/>
          </w:rPr>
          <w:t>.</w:t>
        </w:r>
      </w:hyperlink>
    </w:p>
  </w:footnote>
  <w:footnote w:id="3">
    <w:p w14:paraId="476E9189" w14:textId="4BCD624F" w:rsidR="00E33E15" w:rsidRPr="00E33E15" w:rsidRDefault="00E33E15" w:rsidP="00E33E15">
      <w:pPr>
        <w:pStyle w:val="FootnoteText"/>
        <w:rPr>
          <w:rtl/>
        </w:rPr>
      </w:pPr>
      <w:r w:rsidRPr="00E33E15">
        <w:footnoteRef/>
      </w:r>
      <w:r w:rsidRPr="00E33E15">
        <w:rPr>
          <w:rtl/>
        </w:rPr>
        <w:t xml:space="preserve"> </w:t>
      </w:r>
      <w:hyperlink r:id="rId3" w:history="1">
        <w:r w:rsidRPr="00E33E15">
          <w:rPr>
            <w:rStyle w:val="Hyperlink"/>
            <w:rFonts w:hint="cs"/>
            <w:rtl/>
          </w:rPr>
          <w:t>جواهر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الكلام،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النجفي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الجواهري،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الشيخ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محمد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حسن،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ج</w:t>
        </w:r>
        <w:r w:rsidRPr="00E33E15">
          <w:rPr>
            <w:rStyle w:val="Hyperlink"/>
            <w:rtl/>
          </w:rPr>
          <w:t>8</w:t>
        </w:r>
        <w:r w:rsidRPr="00E33E15">
          <w:rPr>
            <w:rStyle w:val="Hyperlink"/>
            <w:rFonts w:hint="cs"/>
            <w:rtl/>
          </w:rPr>
          <w:t>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ص</w:t>
        </w:r>
        <w:r w:rsidRPr="00E33E15">
          <w:rPr>
            <w:rStyle w:val="Hyperlink"/>
            <w:rtl/>
          </w:rPr>
          <w:t>169.</w:t>
        </w:r>
      </w:hyperlink>
    </w:p>
  </w:footnote>
  <w:footnote w:id="4">
    <w:p w14:paraId="3DA6101B" w14:textId="7884EAB1" w:rsidR="00E33E15" w:rsidRPr="00E33E15" w:rsidRDefault="00E33E15" w:rsidP="00E33E15">
      <w:pPr>
        <w:pStyle w:val="FootnoteText"/>
        <w:rPr>
          <w:rtl/>
        </w:rPr>
      </w:pPr>
      <w:r w:rsidRPr="00E33E15">
        <w:footnoteRef/>
      </w:r>
      <w:r w:rsidRPr="00E33E15">
        <w:rPr>
          <w:rtl/>
        </w:rPr>
        <w:t xml:space="preserve"> </w:t>
      </w:r>
      <w:hyperlink r:id="rId4" w:history="1">
        <w:r w:rsidRPr="00E33E15">
          <w:rPr>
            <w:rStyle w:val="Hyperlink"/>
            <w:rFonts w:hint="cs"/>
            <w:rtl/>
          </w:rPr>
          <w:t>جواهر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الكلام،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النجفي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الجواهري،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الشيخ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محمد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حسن،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ج</w:t>
        </w:r>
        <w:r w:rsidRPr="00E33E15">
          <w:rPr>
            <w:rStyle w:val="Hyperlink"/>
            <w:rtl/>
          </w:rPr>
          <w:t>8</w:t>
        </w:r>
        <w:r w:rsidRPr="00E33E15">
          <w:rPr>
            <w:rStyle w:val="Hyperlink"/>
            <w:rFonts w:hint="cs"/>
            <w:rtl/>
          </w:rPr>
          <w:t>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ص</w:t>
        </w:r>
        <w:r w:rsidRPr="00E33E15">
          <w:rPr>
            <w:rStyle w:val="Hyperlink"/>
            <w:rtl/>
          </w:rPr>
          <w:t>16</w:t>
        </w:r>
        <w:r>
          <w:rPr>
            <w:rStyle w:val="Hyperlink"/>
            <w:rFonts w:hint="cs"/>
            <w:rtl/>
          </w:rPr>
          <w:t>7</w:t>
        </w:r>
        <w:r w:rsidRPr="00E33E15">
          <w:rPr>
            <w:rStyle w:val="Hyperlink"/>
            <w:rtl/>
          </w:rPr>
          <w:t>.</w:t>
        </w:r>
      </w:hyperlink>
    </w:p>
  </w:footnote>
  <w:footnote w:id="5">
    <w:p w14:paraId="24ACCF4B" w14:textId="13299BF2" w:rsidR="00E33E15" w:rsidRPr="00E33E15" w:rsidRDefault="00E33E15" w:rsidP="00E33E15">
      <w:pPr>
        <w:pStyle w:val="FootnoteText"/>
        <w:rPr>
          <w:rtl/>
        </w:rPr>
      </w:pPr>
      <w:r w:rsidRPr="00E33E15">
        <w:footnoteRef/>
      </w:r>
      <w:r w:rsidRPr="00E33E15">
        <w:rPr>
          <w:rtl/>
        </w:rPr>
        <w:t xml:space="preserve"> </w:t>
      </w:r>
      <w:hyperlink r:id="rId5" w:history="1">
        <w:r w:rsidRPr="00E33E15">
          <w:rPr>
            <w:rStyle w:val="Hyperlink"/>
            <w:rFonts w:hint="cs"/>
            <w:rtl/>
          </w:rPr>
          <w:t>جواهر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الكلام،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النجفي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الجواهري،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الشيخ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محمد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حسن،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ج</w:t>
        </w:r>
        <w:r w:rsidRPr="00E33E15">
          <w:rPr>
            <w:rStyle w:val="Hyperlink"/>
            <w:rtl/>
          </w:rPr>
          <w:t>8</w:t>
        </w:r>
        <w:r w:rsidRPr="00E33E15">
          <w:rPr>
            <w:rStyle w:val="Hyperlink"/>
            <w:rFonts w:hint="cs"/>
            <w:rtl/>
          </w:rPr>
          <w:t>،</w:t>
        </w:r>
        <w:r w:rsidRPr="00E33E15">
          <w:rPr>
            <w:rStyle w:val="Hyperlink"/>
            <w:rtl/>
          </w:rPr>
          <w:t xml:space="preserve"> </w:t>
        </w:r>
        <w:r w:rsidRPr="00E33E15">
          <w:rPr>
            <w:rStyle w:val="Hyperlink"/>
            <w:rFonts w:hint="cs"/>
            <w:rtl/>
          </w:rPr>
          <w:t>ص</w:t>
        </w:r>
        <w:r w:rsidRPr="00E33E15">
          <w:rPr>
            <w:rStyle w:val="Hyperlink"/>
            <w:rtl/>
          </w:rPr>
          <w:t>16</w:t>
        </w:r>
        <w:r>
          <w:rPr>
            <w:rStyle w:val="Hyperlink"/>
            <w:rFonts w:hint="cs"/>
            <w:rtl/>
          </w:rPr>
          <w:t>7</w:t>
        </w:r>
        <w:r w:rsidRPr="00E33E15">
          <w:rPr>
            <w:rStyle w:val="Hyperlink"/>
            <w:rtl/>
          </w:rPr>
          <w:t>.</w:t>
        </w:r>
      </w:hyperlink>
    </w:p>
  </w:footnote>
  <w:footnote w:id="6">
    <w:p w14:paraId="0FAC8CAE" w14:textId="470AF583" w:rsidR="00C005A1" w:rsidRPr="00C005A1" w:rsidRDefault="00C005A1" w:rsidP="00C005A1">
      <w:pPr>
        <w:pStyle w:val="FootnoteText"/>
      </w:pPr>
      <w:r w:rsidRPr="00C005A1">
        <w:footnoteRef/>
      </w:r>
      <w:r w:rsidRPr="00C005A1">
        <w:rPr>
          <w:rtl/>
        </w:rPr>
        <w:t xml:space="preserve"> </w:t>
      </w:r>
      <w:hyperlink r:id="rId6" w:history="1">
        <w:r w:rsidRPr="00C005A1">
          <w:rPr>
            <w:rStyle w:val="Hyperlink"/>
            <w:rFonts w:hint="cs"/>
            <w:rtl/>
          </w:rPr>
          <w:t>سوره</w:t>
        </w:r>
        <w:r w:rsidRPr="00C005A1">
          <w:rPr>
            <w:rStyle w:val="Hyperlink"/>
            <w:rtl/>
          </w:rPr>
          <w:t xml:space="preserve"> </w:t>
        </w:r>
        <w:r w:rsidRPr="00C005A1">
          <w:rPr>
            <w:rStyle w:val="Hyperlink"/>
            <w:rFonts w:hint="cs"/>
            <w:rtl/>
          </w:rPr>
          <w:t>نور،</w:t>
        </w:r>
        <w:r w:rsidRPr="00C005A1">
          <w:rPr>
            <w:rStyle w:val="Hyperlink"/>
            <w:rtl/>
          </w:rPr>
          <w:t xml:space="preserve"> </w:t>
        </w:r>
        <w:r w:rsidRPr="00C005A1">
          <w:rPr>
            <w:rStyle w:val="Hyperlink"/>
            <w:rFonts w:hint="cs"/>
            <w:rtl/>
          </w:rPr>
          <w:t>آيه</w:t>
        </w:r>
        <w:r w:rsidRPr="00C005A1">
          <w:rPr>
            <w:rStyle w:val="Hyperlink"/>
            <w:rtl/>
          </w:rPr>
          <w:t xml:space="preserve"> 31</w:t>
        </w:r>
        <w:r w:rsidRPr="00C005A1">
          <w:rPr>
            <w:rStyle w:val="Hyperlink"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0F87CE0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4B7B4A">
      <w:rPr>
        <w:rFonts w:ascii="Noor_Zar" w:hAnsi="Noor_Zar" w:cs="B Mitra" w:hint="cs"/>
        <w:b/>
        <w:bCs/>
        <w:sz w:val="20"/>
        <w:szCs w:val="20"/>
        <w:rtl/>
      </w:rPr>
      <w:t>19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BB735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54809">
    <w:abstractNumId w:val="3"/>
  </w:num>
  <w:num w:numId="2" w16cid:durableId="1066533599">
    <w:abstractNumId w:val="2"/>
  </w:num>
  <w:num w:numId="3" w16cid:durableId="1379672401">
    <w:abstractNumId w:val="0"/>
  </w:num>
  <w:num w:numId="4" w16cid:durableId="1547376589">
    <w:abstractNumId w:val="5"/>
  </w:num>
  <w:num w:numId="5" w16cid:durableId="474032717">
    <w:abstractNumId w:val="1"/>
  </w:num>
  <w:num w:numId="6" w16cid:durableId="117658038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28E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58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0B2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5FED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697B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2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7C3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6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416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B4A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163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56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6E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CA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A9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5A1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6CF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D11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437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1F4B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15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2F4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3F1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A8DC3BEC-65D8-4D6E-9A99-9047EBD9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0088/8/169/&#1576;&#1575;&#1587;&#1578;&#1579;&#1606;&#1575;&#1569;" TargetMode="External"/><Relationship Id="rId2" Type="http://schemas.openxmlformats.org/officeDocument/2006/relationships/hyperlink" Target="http://lib.eshia.ir/40660/7/236/&#1608;&#1575;&#1604;&#1587;&#1617;&#1615;&#1578;&#1618;&#1585;&#1577;&#1615;" TargetMode="External"/><Relationship Id="rId1" Type="http://schemas.openxmlformats.org/officeDocument/2006/relationships/hyperlink" Target="http://lib.eshia.ir/11005/6/497/&#1740;&#1583;&#1582;&#1604;&#1607;" TargetMode="External"/><Relationship Id="rId6" Type="http://schemas.openxmlformats.org/officeDocument/2006/relationships/hyperlink" Target="http://lib.eshia.ir//17001/1/353/31" TargetMode="External"/><Relationship Id="rId5" Type="http://schemas.openxmlformats.org/officeDocument/2006/relationships/hyperlink" Target="http://lib.eshia.ir/10088/8/167/&#1605;&#1585;&#1575;&#1583;&#1607;&#1605;" TargetMode="External"/><Relationship Id="rId4" Type="http://schemas.openxmlformats.org/officeDocument/2006/relationships/hyperlink" Target="http://lib.eshia.ir/10088/8/167/&#1576;&#1575;&#1604;&#1575;&#1587;&#1578;&#1583;&#1604;&#1575;&#1604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8688-937B-4A8F-B3FC-D100AE9A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2025-10-14T04:42:00Z</dcterms:created>
  <dcterms:modified xsi:type="dcterms:W3CDTF">2025-10-14T04:42:00Z</dcterms:modified>
</cp:coreProperties>
</file>