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DC9FFB6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7AF6A302" w14:textId="1F9FB643" w:rsidR="00716EE8" w:rsidRDefault="00CE6AB5" w:rsidP="005F56E3">
      <w:pPr>
        <w:pStyle w:val="Heading2"/>
        <w:rPr>
          <w:rtl/>
        </w:rPr>
      </w:pPr>
      <w:r>
        <w:rPr>
          <w:rFonts w:hint="cs"/>
          <w:rtl/>
        </w:rPr>
        <w:t>قاعده بدلیت</w:t>
      </w:r>
    </w:p>
    <w:p w14:paraId="2BBF5D43" w14:textId="0BDDA564" w:rsidR="00FA1577" w:rsidRDefault="00FA1577" w:rsidP="00FA1577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دوره‌ها</w:t>
      </w:r>
      <w:r>
        <w:rPr>
          <w:rFonts w:hint="cs"/>
          <w:rtl/>
        </w:rPr>
        <w:t>ی</w:t>
      </w:r>
      <w:r>
        <w:rPr>
          <w:rtl/>
        </w:rPr>
        <w:t xml:space="preserve"> سابق، هم در کتاب بدا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البحوث و هم در کتاب دقائق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واقع، گستره، نطاق، کل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کبرو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«قاعده بدل</w:t>
      </w:r>
      <w:r>
        <w:rPr>
          <w:rFonts w:hint="cs"/>
          <w:rtl/>
        </w:rPr>
        <w:t>یّ</w:t>
      </w:r>
      <w:r>
        <w:rPr>
          <w:rFonts w:hint="eastAsia"/>
          <w:rtl/>
        </w:rPr>
        <w:t>ت»</w:t>
      </w:r>
      <w:r>
        <w:rPr>
          <w:rtl/>
        </w:rPr>
        <w:t xml:space="preserve"> تابع مدلول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که آن را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تابع آن نصّ</w:t>
      </w:r>
      <w:r>
        <w:rPr>
          <w:rFonts w:hint="cs"/>
          <w:rtl/>
        </w:rPr>
        <w:t>ی</w:t>
      </w:r>
      <w:r>
        <w:rPr>
          <w:rtl/>
        </w:rPr>
        <w:t xml:space="preserve"> است ک</w:t>
      </w:r>
      <w:r>
        <w:rPr>
          <w:rFonts w:hint="eastAsia"/>
          <w:rtl/>
        </w:rPr>
        <w:t>ه</w:t>
      </w:r>
      <w:r>
        <w:rPr>
          <w:rtl/>
        </w:rPr>
        <w:t xml:space="preserve"> بر آن «بدل» قائم شده است. به هر شکل</w:t>
      </w:r>
      <w:r>
        <w:rPr>
          <w:rFonts w:hint="cs"/>
          <w:rtl/>
        </w:rPr>
        <w:t>ی</w:t>
      </w:r>
      <w:r>
        <w:rPr>
          <w:rtl/>
        </w:rPr>
        <w:t xml:space="preserve"> که آن نص دلالت کند، حکم همان است. ممکن است نص</w:t>
      </w:r>
      <w:r>
        <w:rPr>
          <w:rFonts w:hint="cs"/>
          <w:rtl/>
        </w:rPr>
        <w:t>ی</w:t>
      </w:r>
      <w:r>
        <w:rPr>
          <w:rtl/>
        </w:rPr>
        <w:t xml:space="preserve"> دلالت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 فقط در بعض</w:t>
      </w:r>
      <w:r>
        <w:rPr>
          <w:rFonts w:hint="cs"/>
          <w:rtl/>
        </w:rPr>
        <w:t>ی</w:t>
      </w:r>
      <w:r>
        <w:rPr>
          <w:rtl/>
        </w:rPr>
        <w:t xml:space="preserve"> از جهات خاص، مانند مبدَل‌مِنه است؛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را اخذ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57E9E023" w14:textId="77777777" w:rsidR="00FA1577" w:rsidRDefault="00FA1577" w:rsidP="00FA1577">
      <w:pPr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است به گونه‌ا</w:t>
      </w:r>
      <w:r>
        <w:rPr>
          <w:rFonts w:hint="cs"/>
          <w:rtl/>
        </w:rPr>
        <w:t>ی</w:t>
      </w:r>
      <w:r>
        <w:rPr>
          <w:rtl/>
        </w:rPr>
        <w:t xml:space="preserve"> قائم شده باشد که اطلاق داشته باشد؛ برا</w:t>
      </w:r>
      <w:r>
        <w:rPr>
          <w:rFonts w:hint="cs"/>
          <w:rtl/>
        </w:rPr>
        <w:t>ی</w:t>
      </w:r>
      <w:r>
        <w:rPr>
          <w:rtl/>
        </w:rPr>
        <w:t xml:space="preserve"> مثال،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«التُّرابُ أَحَدُ الطَّهُورَيْنِ»، لسان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است که خودِ آن اطلاق دارد.</w:t>
      </w:r>
    </w:p>
    <w:p w14:paraId="7411710E" w14:textId="77777777" w:rsidR="00FA1577" w:rsidRDefault="00FA1577" w:rsidP="00FA1577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قبلاً معتقد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تابع مدلول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نفسِ «جعلِ بدل»، به خود</w:t>
      </w:r>
      <w:r>
        <w:rPr>
          <w:rFonts w:hint="cs"/>
          <w:rtl/>
        </w:rPr>
        <w:t>ی</w:t>
      </w:r>
      <w:r>
        <w:rPr>
          <w:rtl/>
        </w:rPr>
        <w:t xml:space="preserve"> خود، اقتضا</w:t>
      </w:r>
      <w:r>
        <w:rPr>
          <w:rFonts w:hint="cs"/>
          <w:rtl/>
        </w:rPr>
        <w:t>ی</w:t>
      </w:r>
      <w:r>
        <w:rPr>
          <w:rtl/>
        </w:rPr>
        <w:t xml:space="preserve"> کبرو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کل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را داشته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دوره، هرچه تأمل کردم،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سخن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و صاحب جواهر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است؛ ب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کبرو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کل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و اطلاقِ 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ذاتِ خودِ «جعل بدل» است.</w:t>
      </w:r>
    </w:p>
    <w:p w14:paraId="7A0A8902" w14:textId="27B086C1" w:rsidR="00FA1577" w:rsidRDefault="00FA1577" w:rsidP="00FA1577">
      <w:pPr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بدلِ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متفاهم عرف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«هذَا مَكَانُ ذَاكَ مِنْ جِهَةِ الْآثَارِ وَ الْأَحْكَامِ»؛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بدل و به جا</w:t>
      </w:r>
      <w:r>
        <w:rPr>
          <w:rFonts w:hint="cs"/>
          <w:rtl/>
        </w:rPr>
        <w:t>ی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است. پس هر آثار و احکام</w:t>
      </w:r>
      <w:r>
        <w:rPr>
          <w:rFonts w:hint="cs"/>
          <w:rtl/>
        </w:rPr>
        <w:t>ی</w:t>
      </w:r>
      <w:r>
        <w:rPr>
          <w:rtl/>
        </w:rPr>
        <w:t xml:space="preserve"> که مبدَل‌مِنه داشت، طبعاً بدل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معناست که نفسِ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eastAsia"/>
          <w:rtl/>
        </w:rPr>
        <w:t>بدل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جعل بدل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ذاتاً در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آثار و احکام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 وگرنه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فقط در «بعض» جهات بدل است،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باق</w:t>
      </w:r>
      <w:r>
        <w:rPr>
          <w:rFonts w:hint="cs"/>
          <w:rtl/>
        </w:rPr>
        <w:t>ی</w:t>
      </w:r>
      <w:r>
        <w:rPr>
          <w:rtl/>
        </w:rPr>
        <w:t xml:space="preserve"> جهات، بدل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کلام و خطاب</w:t>
      </w:r>
      <w:r>
        <w:rPr>
          <w:rFonts w:hint="cs"/>
          <w:rtl/>
        </w:rPr>
        <w:t>ی</w:t>
      </w:r>
      <w:r>
        <w:rPr>
          <w:rtl/>
        </w:rPr>
        <w:t xml:space="preserve"> که بدل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کرده، خود اطلاق دارد.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بدل در بعض</w:t>
      </w:r>
      <w:r>
        <w:rPr>
          <w:rFonts w:hint="cs"/>
          <w:rtl/>
        </w:rPr>
        <w:t>ی</w:t>
      </w:r>
      <w:r>
        <w:rPr>
          <w:rtl/>
        </w:rPr>
        <w:t xml:space="preserve"> جهات،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مبدَل‌مِنه نباشد،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مخصِّص دارد.</w:t>
      </w:r>
    </w:p>
    <w:p w14:paraId="3983C01A" w14:textId="60DC5855" w:rsidR="00FA1577" w:rsidRDefault="00FA1577" w:rsidP="00FA1577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نظر،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و صاحب جواهر است. البته فقها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اختلاف کرده‌اند. برخ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رفته‌اند،</w:t>
      </w:r>
      <w:r>
        <w:rPr>
          <w:rtl/>
        </w:rPr>
        <w:t xml:space="preserve"> مانند محقق نراق</w:t>
      </w:r>
      <w:r>
        <w:rPr>
          <w:rFonts w:hint="cs"/>
          <w:rtl/>
        </w:rPr>
        <w:t>ی</w:t>
      </w:r>
      <w:r>
        <w:rPr>
          <w:rtl/>
        </w:rPr>
        <w:t>.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به فقها نسبت داده و گفته است: «</w:t>
      </w:r>
      <w:r w:rsidRPr="00100852">
        <w:rPr>
          <w:color w:val="000080"/>
          <w:rtl/>
        </w:rPr>
        <w:t>إِعْلَمْ أَنَّ الْفُقَهَاءَ يُجْرُونَ فِي الْبَدَلِ الشّ</w:t>
      </w:r>
      <w:r w:rsidRPr="00100852">
        <w:rPr>
          <w:rFonts w:hint="eastAsia"/>
          <w:color w:val="000080"/>
          <w:rtl/>
        </w:rPr>
        <w:t>َرْعِيِّ</w:t>
      </w:r>
      <w:r w:rsidRPr="00100852">
        <w:rPr>
          <w:color w:val="000080"/>
          <w:rtl/>
        </w:rPr>
        <w:t xml:space="preserve"> عَنِ الْمُبْدَلِ مِنْهُ الشَّرْعِيِّ أَحْكَامَ ذَلِكَ الْمُبْدَلِ مِنْهِ إِلَّا أَنْ يَثْبُتَ خِلَافُ ذَلِكَ مِنَ الشَّرْعِ</w:t>
      </w:r>
      <w:r>
        <w:rPr>
          <w:rtl/>
        </w:rPr>
        <w:t>»</w:t>
      </w:r>
      <w:r w:rsidR="00100852">
        <w:rPr>
          <w:rStyle w:val="FootnoteReference"/>
          <w:rtl/>
        </w:rPr>
        <w:footnoteReference w:id="1"/>
      </w:r>
      <w:r>
        <w:rPr>
          <w:rtl/>
        </w:rPr>
        <w:t>.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آن است که اصل و قاعده، ترتّب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احکام مبدَل‌مِنه بر بدل است. استثنا</w:t>
      </w:r>
      <w:r>
        <w:rPr>
          <w:rFonts w:hint="cs"/>
          <w:rtl/>
        </w:rPr>
        <w:t>ی</w:t>
      </w:r>
      <w:r>
        <w:rPr>
          <w:rtl/>
        </w:rPr>
        <w:t xml:space="preserve"> «إِلَّا أَنْ يَثْبُتَ خِلَافُ ذَلِ</w:t>
      </w:r>
      <w:r>
        <w:rPr>
          <w:rFonts w:hint="eastAsia"/>
          <w:rtl/>
        </w:rPr>
        <w:t>كَ»</w:t>
      </w:r>
      <w:r>
        <w:rPr>
          <w:rtl/>
        </w:rPr>
        <w:t xml:space="preserve"> خود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است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ت؛</w:t>
      </w:r>
      <w:r>
        <w:rPr>
          <w:rtl/>
        </w:rPr>
        <w:t xml:space="preserve">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مستثن</w:t>
      </w:r>
      <w:r>
        <w:rPr>
          <w:rFonts w:hint="cs"/>
          <w:rtl/>
        </w:rPr>
        <w:t>ی‌</w:t>
      </w:r>
      <w:r>
        <w:rPr>
          <w:rFonts w:hint="eastAsia"/>
          <w:rtl/>
        </w:rPr>
        <w:t>مِنه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قاعده است و مستثن</w:t>
      </w:r>
      <w:r>
        <w:rPr>
          <w:rFonts w:hint="cs"/>
          <w:rtl/>
        </w:rPr>
        <w:t>ی</w:t>
      </w:r>
      <w:r>
        <w:rPr>
          <w:rtl/>
        </w:rPr>
        <w:t xml:space="preserve"> از آن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ممکن است به شرط</w:t>
      </w:r>
      <w:r>
        <w:rPr>
          <w:rFonts w:hint="cs"/>
          <w:rtl/>
        </w:rPr>
        <w:t>ی</w:t>
      </w:r>
      <w:r>
        <w:rPr>
          <w:rtl/>
        </w:rPr>
        <w:t xml:space="preserve"> که در انتها</w:t>
      </w:r>
      <w:r>
        <w:rPr>
          <w:rFonts w:hint="cs"/>
          <w:rtl/>
        </w:rPr>
        <w:t>ی</w:t>
      </w:r>
      <w:r>
        <w:rPr>
          <w:rtl/>
        </w:rPr>
        <w:t xml:space="preserve"> کلام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آمده اشکال شود، اما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وجود، آنچه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«جم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فقها نسبت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از نظر ما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</w:t>
      </w:r>
    </w:p>
    <w:p w14:paraId="1823A2E5" w14:textId="77777777" w:rsidR="00FA1577" w:rsidRDefault="00FA1577" w:rsidP="00FA1577">
      <w:pPr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متکلم و شارع، هنگام جعلِ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عنوان بدل، جهت</w:t>
      </w:r>
      <w:r>
        <w:rPr>
          <w:rFonts w:hint="cs"/>
          <w:rtl/>
        </w:rPr>
        <w:t>ی</w:t>
      </w:r>
      <w:r>
        <w:rPr>
          <w:rtl/>
        </w:rPr>
        <w:t xml:space="preserve"> را استثنا نکند، مقتضا</w:t>
      </w:r>
      <w:r>
        <w:rPr>
          <w:rFonts w:hint="cs"/>
          <w:rtl/>
        </w:rPr>
        <w:t>ی</w:t>
      </w:r>
      <w:r>
        <w:rPr>
          <w:rtl/>
        </w:rPr>
        <w:t xml:space="preserve"> اطلاق کلامش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بدل از هر جهت،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مبدَل‌مِنه است و همه احکام بر آن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نه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 اطلاق، تا زمان</w:t>
      </w:r>
      <w:r>
        <w:rPr>
          <w:rFonts w:hint="cs"/>
          <w:rtl/>
        </w:rPr>
        <w:t>ی</w:t>
      </w:r>
      <w:r>
        <w:rPr>
          <w:rtl/>
        </w:rPr>
        <w:t xml:space="preserve"> که مت</w:t>
      </w:r>
      <w:r>
        <w:rPr>
          <w:rFonts w:hint="eastAsia"/>
          <w:rtl/>
        </w:rPr>
        <w:t>کلم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بر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حجت است و مطلقات بر اطلاق خود 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شوند؛</w:t>
      </w:r>
      <w:r>
        <w:rPr>
          <w:rtl/>
        </w:rPr>
        <w:t xml:space="preserve"> همانند امر «أَعْتِقْ رَقَبَةً»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«أَكْرِمْ عَالِماً» که اطلاق دارد و همه علما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را خارج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جعل بدل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است و طبعاً هر آنچه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15F9DCB6" w14:textId="600A97F8" w:rsidR="00FA1577" w:rsidRDefault="00FA1577" w:rsidP="00FA1577">
      <w:pPr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قاعده، «صفات» را شامل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صفات اساساً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ندارند. صفات،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آن مبدَل‌مِنه. مثلاً وضو در شرع جعل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شده است، اما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مشخص است: «</w:t>
      </w:r>
      <w:r w:rsidR="00100852" w:rsidRPr="00100852">
        <w:rPr>
          <w:rtl/>
        </w:rPr>
        <w:t xml:space="preserve"> </w:t>
      </w:r>
      <w:r w:rsidR="00100852" w:rsidRPr="00100852">
        <w:rPr>
          <w:color w:val="008000"/>
          <w:rtl/>
        </w:rPr>
        <w:t xml:space="preserve">فَاغْسِلُوا وُجُوهَكُمْ وَأَيْدِيَكُمْ إِلَى الْمَرَافِقِ وَامْسَحُوا بِرُءُوسِكُمْ وَأَرْجُلَكُمْ إِلَى الْكَعْبَيْنِ </w:t>
      </w:r>
      <w:r>
        <w:rPr>
          <w:rFonts w:hint="eastAsia"/>
          <w:rtl/>
        </w:rPr>
        <w:t>»</w:t>
      </w:r>
      <w:r w:rsidR="00100852">
        <w:rPr>
          <w:rStyle w:val="FootnoteReference"/>
          <w:rtl/>
        </w:rPr>
        <w:footnoteReference w:id="2"/>
      </w:r>
      <w:r>
        <w:rPr>
          <w:rtl/>
        </w:rPr>
        <w:t>. وضو مرکب است از شستن صورت و دست‌ها با آن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(از آرنج تا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>) و مسح سر و پا.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تابع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خودِ وضوست. همان‌طور که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غسل با وضو متفاوت است، و موارد</w:t>
      </w:r>
      <w:r>
        <w:rPr>
          <w:rFonts w:hint="cs"/>
          <w:rtl/>
        </w:rPr>
        <w:t>ی</w:t>
      </w:r>
      <w:r>
        <w:rPr>
          <w:rtl/>
        </w:rPr>
        <w:t xml:space="preserve"> چون موالات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جزو صفات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14:paraId="1EA83CEA" w14:textId="77777777" w:rsidR="00C07B89" w:rsidRDefault="00FA1577" w:rsidP="00FA1577">
      <w:pPr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چگونگ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اجزا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واجب، تابع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خودِ آن واجب است. همان‌طور که غسل و وضو با هم تفاوت دارند،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خود را دارد: «ضَرْبٌ عَلَ</w:t>
      </w:r>
      <w:r>
        <w:rPr>
          <w:rFonts w:hint="cs"/>
          <w:rtl/>
        </w:rPr>
        <w:t>ی</w:t>
      </w:r>
      <w:r>
        <w:rPr>
          <w:rtl/>
        </w:rPr>
        <w:t xml:space="preserve"> الْأَرْضِ» با 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سپس مسح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>.</w:t>
      </w:r>
    </w:p>
    <w:p w14:paraId="44A0453C" w14:textId="3A2E560E" w:rsidR="00FA1577" w:rsidRDefault="00FA1577" w:rsidP="00FA1577">
      <w:pPr>
        <w:rPr>
          <w:rtl/>
        </w:rPr>
      </w:pP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چون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بدل غسل است، پس تمام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صفات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دارد. همان‌طور که مرحوم آقا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فرموده،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تابع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 بود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ادامه عبارت</w:t>
      </w:r>
      <w:r>
        <w:rPr>
          <w:rFonts w:hint="cs"/>
          <w:rtl/>
        </w:rPr>
        <w:t>ی</w:t>
      </w:r>
      <w:r>
        <w:rPr>
          <w:rtl/>
        </w:rPr>
        <w:t xml:space="preserve"> مشابه دارد.</w:t>
      </w:r>
    </w:p>
    <w:p w14:paraId="21D71E77" w14:textId="77777777" w:rsidR="00C07B89" w:rsidRDefault="00FA1577" w:rsidP="00FA1577">
      <w:pPr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شود که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 داشته باشد، چرا حکم سار</w:t>
      </w:r>
      <w:r>
        <w:rPr>
          <w:rFonts w:hint="cs"/>
          <w:rtl/>
        </w:rPr>
        <w:t>ی</w:t>
      </w:r>
      <w:r>
        <w:rPr>
          <w:rtl/>
        </w:rPr>
        <w:t xml:space="preserve"> نشود؟ به عنوان مثال، در وضو آب از بالا 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گردد.</w:t>
      </w:r>
    </w:p>
    <w:p w14:paraId="6077BEDE" w14:textId="3BD518E8" w:rsidR="00FA1577" w:rsidRDefault="00FA1577" w:rsidP="00FA1577">
      <w:pPr>
        <w:rPr>
          <w:rtl/>
        </w:rPr>
      </w:pP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قاعده بدل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اقتضا را در حوزه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ندارد. هر سبب </w:t>
      </w:r>
      <w:r>
        <w:rPr>
          <w:rFonts w:hint="eastAsia"/>
          <w:rtl/>
        </w:rPr>
        <w:t>طهارت</w:t>
      </w:r>
      <w:r>
        <w:rPr>
          <w:rFonts w:hint="cs"/>
          <w:rtl/>
        </w:rPr>
        <w:t>ی</w:t>
      </w:r>
      <w:r>
        <w:rPr>
          <w:rtl/>
        </w:rPr>
        <w:t xml:space="preserve"> (وضو، غسل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توسط شارع جعل شده و تابع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خودش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غسل، شستن از بالا 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لازم است،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دارد.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استدلال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شستن از بالا 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عرف آن‌چنان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</w:t>
      </w:r>
      <w:r w:rsidR="00170AA4">
        <w:rPr>
          <w:rFonts w:hint="cs"/>
          <w:rtl/>
        </w:rPr>
        <w:t>-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نه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فقط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در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مقام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وضو،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بلکه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به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طور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کل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70AA4">
        <w:rPr>
          <w:rFonts w:ascii="Times New Roman" w:hAnsi="Times New Roman" w:cs="Times New Roman" w:hint="cs"/>
          <w:rtl/>
        </w:rPr>
        <w:t>-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کثرت ش</w:t>
      </w:r>
      <w:r>
        <w:rPr>
          <w:rFonts w:hint="cs"/>
          <w:rtl/>
        </w:rPr>
        <w:t>ی</w:t>
      </w:r>
      <w:r>
        <w:rPr>
          <w:rFonts w:hint="eastAsia"/>
          <w:rtl/>
        </w:rPr>
        <w:t>وع،</w:t>
      </w:r>
      <w:r>
        <w:rPr>
          <w:rtl/>
        </w:rPr>
        <w:t xml:space="preserve"> موجب تبادر معنا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 w:rsidR="00D1596F">
        <w:rPr>
          <w:rFonts w:hint="cs"/>
          <w:rtl/>
        </w:rPr>
        <w:t>َ</w:t>
      </w:r>
      <w:r>
        <w:rPr>
          <w:rtl/>
        </w:rPr>
        <w:t>سل از بالا 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از خودِ عنوان «غ</w:t>
      </w:r>
      <w:r w:rsidR="00D1596F">
        <w:rPr>
          <w:rFonts w:hint="cs"/>
          <w:rtl/>
        </w:rPr>
        <w:t>َ</w:t>
      </w:r>
      <w:r>
        <w:rPr>
          <w:rtl/>
        </w:rPr>
        <w:t>سل»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کثرت وجود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وع،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ارتکاز ذهن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اما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در «مسح»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دارد؟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در مسح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دارد که از بالا 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باشد؟</w:t>
      </w:r>
    </w:p>
    <w:p w14:paraId="3C818B5B" w14:textId="77777777" w:rsidR="00FA1577" w:rsidRDefault="00FA1577" w:rsidP="00FA1577">
      <w:pPr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فقها فتوا داده‌اند که در مسح جبهه در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بالا 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عمل کرد، چون بدل از وضو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مرحوم آقا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رد کرده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که ما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اطلاق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هرچند ما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اطلاق دارد، اما ردّ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فتوا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صفات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ربط</w:t>
      </w:r>
      <w:r>
        <w:rPr>
          <w:rFonts w:hint="cs"/>
          <w:rtl/>
        </w:rPr>
        <w:t>ی</w:t>
      </w:r>
      <w:r>
        <w:rPr>
          <w:rtl/>
        </w:rPr>
        <w:t xml:space="preserve"> به آثار و احکام ندارد.</w:t>
      </w:r>
    </w:p>
    <w:p w14:paraId="1D572194" w14:textId="39F3B407" w:rsidR="00506C96" w:rsidRDefault="00FA1577" w:rsidP="00FA1577">
      <w:pPr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جواهر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فرموده است: «</w:t>
      </w:r>
      <w:r w:rsidRPr="00506C96">
        <w:rPr>
          <w:color w:val="000080"/>
          <w:rtl/>
        </w:rPr>
        <w:t>لَا يَخْفَى أَنَّ مُقْتَضَى الْبَدَلِيَّةِ ثُبُوتُ أَحْكَامِ الْمُبْدَلِ مِنْهُ لِلْبَدَلِ</w:t>
      </w:r>
      <w:r>
        <w:rPr>
          <w:rtl/>
        </w:rPr>
        <w:t>»</w:t>
      </w:r>
      <w:r w:rsidR="00AA0E38">
        <w:rPr>
          <w:rStyle w:val="FootnoteReference"/>
          <w:rtl/>
        </w:rPr>
        <w:footnoteReference w:id="3"/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«ثبوت احکام»،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همه احکام.</w:t>
      </w:r>
    </w:p>
    <w:p w14:paraId="3C3AFBD9" w14:textId="28ACD657" w:rsidR="00FA1577" w:rsidRDefault="00FA1577" w:rsidP="00FA1577">
      <w:pPr>
        <w:rPr>
          <w:rtl/>
        </w:rPr>
      </w:pPr>
      <w:r>
        <w:rPr>
          <w:rtl/>
        </w:rPr>
        <w:t xml:space="preserve"> در مقابل، جماعت</w:t>
      </w:r>
      <w:r>
        <w:rPr>
          <w:rFonts w:hint="cs"/>
          <w:rtl/>
        </w:rPr>
        <w:t>ی</w:t>
      </w:r>
      <w:r>
        <w:rPr>
          <w:rtl/>
        </w:rPr>
        <w:t xml:space="preserve"> مانند محقق حلّ</w:t>
      </w:r>
      <w:r>
        <w:rPr>
          <w:rFonts w:hint="cs"/>
          <w:rtl/>
        </w:rPr>
        <w:t>ی</w:t>
      </w:r>
      <w:r>
        <w:rPr>
          <w:rtl/>
        </w:rPr>
        <w:t xml:space="preserve"> در کتاب معتبر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انکار کرده و گفته اس</w:t>
      </w:r>
      <w:r>
        <w:rPr>
          <w:rFonts w:hint="eastAsia"/>
          <w:rtl/>
        </w:rPr>
        <w:t>ت</w:t>
      </w:r>
      <w:r>
        <w:rPr>
          <w:rtl/>
        </w:rPr>
        <w:t>: «</w:t>
      </w:r>
      <w:r w:rsidRPr="00506C96">
        <w:rPr>
          <w:color w:val="000080"/>
          <w:rtl/>
        </w:rPr>
        <w:t>لَا نُسَلِّمُ أَنَّ حُكْمَ الْبَدَلِ حُكْمُ الْمُبْدَلِ مِنْهُ مِنْ كُلِّ وَجْهٍ</w:t>
      </w:r>
      <w:r>
        <w:rPr>
          <w:rtl/>
        </w:rPr>
        <w:t>»</w:t>
      </w:r>
      <w:r w:rsidR="005738DF">
        <w:rPr>
          <w:rStyle w:val="FootnoteReference"/>
          <w:rtl/>
        </w:rPr>
        <w:footnoteReference w:id="4"/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قبول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 حکم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مبدَل‌مِنه ثابت است، برا</w:t>
      </w:r>
      <w:r>
        <w:rPr>
          <w:rFonts w:hint="cs"/>
          <w:rtl/>
        </w:rPr>
        <w:t>ی</w:t>
      </w:r>
      <w:r>
        <w:rPr>
          <w:rtl/>
        </w:rPr>
        <w:t xml:space="preserve"> بدل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باشد.</w:t>
      </w:r>
    </w:p>
    <w:p w14:paraId="512E116A" w14:textId="77777777" w:rsidR="00FA1577" w:rsidRDefault="00FA1577" w:rsidP="00FA1577">
      <w:pPr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آورده و بر برخ</w:t>
      </w:r>
      <w:r>
        <w:rPr>
          <w:rFonts w:hint="cs"/>
          <w:rtl/>
        </w:rPr>
        <w:t>ی</w:t>
      </w:r>
      <w:r>
        <w:rPr>
          <w:rtl/>
        </w:rPr>
        <w:t xml:space="preserve"> فروع اشکال کرده است.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را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بحث را روشن‌تر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اشکال مرحوم آقا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مربوط به تطب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است.</w:t>
      </w:r>
    </w:p>
    <w:p w14:paraId="2855BF8E" w14:textId="77777777" w:rsidR="00FA1577" w:rsidRDefault="00FA1577" w:rsidP="00FA1577">
      <w:pPr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هشت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ذکر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بررس</w:t>
      </w:r>
      <w:r>
        <w:rPr>
          <w:rFonts w:hint="cs"/>
          <w:rtl/>
        </w:rPr>
        <w:t>ی</w:t>
      </w:r>
      <w:r>
        <w:rPr>
          <w:rtl/>
        </w:rPr>
        <w:t xml:space="preserve"> آن‌ها، موضوع بهتر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14:paraId="00B6A72C" w14:textId="6A7E82A7" w:rsidR="00FA1577" w:rsidRDefault="00FA1577" w:rsidP="00FA1577">
      <w:pPr>
        <w:rPr>
          <w:rtl/>
        </w:rPr>
      </w:pPr>
      <w:r>
        <w:rPr>
          <w:rtl/>
        </w:rPr>
        <w:t>۱. الحاق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جبهه در مسح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>: گفته‌اند در وضو که صورت شسته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طبق نص و اجماع، «جب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(فاصله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جبهه تا بناگوش که به آن «ص</w:t>
      </w:r>
      <w:r w:rsidR="000F5061">
        <w:rPr>
          <w:rFonts w:hint="cs"/>
          <w:rtl/>
        </w:rPr>
        <w:t>َ</w:t>
      </w:r>
      <w:r>
        <w:rPr>
          <w:rtl/>
        </w:rPr>
        <w:t>دغ»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شسته شود،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داخل در محدوده «مَا دَارَتِ الْوَجْهُ» (گرد</w:t>
      </w:r>
      <w:r>
        <w:rPr>
          <w:rFonts w:hint="cs"/>
          <w:rtl/>
        </w:rPr>
        <w:t>ی</w:t>
      </w:r>
      <w:r>
        <w:rPr>
          <w:rtl/>
        </w:rPr>
        <w:t xml:space="preserve"> صورت) است. برخ</w:t>
      </w:r>
      <w:r>
        <w:rPr>
          <w:rFonts w:hint="cs"/>
          <w:rtl/>
        </w:rPr>
        <w:t>ی</w:t>
      </w:r>
      <w:r>
        <w:rPr>
          <w:rtl/>
        </w:rPr>
        <w:t xml:space="preserve"> گفته‌اند در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مسح شوند. محقق نراق</w:t>
      </w:r>
      <w:r>
        <w:rPr>
          <w:rFonts w:hint="cs"/>
          <w:rtl/>
        </w:rPr>
        <w:t>ی</w:t>
      </w:r>
      <w:r>
        <w:rPr>
          <w:rtl/>
        </w:rPr>
        <w:t xml:space="preserve"> در کتاب مستند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استدلال کرده است: «</w:t>
      </w:r>
      <w:r w:rsidRPr="000F5061">
        <w:rPr>
          <w:color w:val="000080"/>
          <w:rtl/>
        </w:rPr>
        <w:t>التَّيَمُّمُ بَدَلٌ مِنَ الْوُضُوءِ وَ الْبَدَلُ فِي حُكْمِ الْمُبْدَلِ مِنْهُ إِلَّا فِي مَا أَخْرَجَهُ الدَّلِيلُ</w:t>
      </w:r>
      <w:r>
        <w:rPr>
          <w:rtl/>
        </w:rPr>
        <w:t>»</w:t>
      </w:r>
      <w:r w:rsidR="005738DF">
        <w:rPr>
          <w:rStyle w:val="FootnoteReference"/>
          <w:rtl/>
        </w:rPr>
        <w:footnoteReference w:id="5"/>
      </w:r>
      <w:r>
        <w:rPr>
          <w:rtl/>
        </w:rPr>
        <w:t>.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را رد کرده و گفته‌ا</w:t>
      </w:r>
      <w:r>
        <w:rPr>
          <w:rFonts w:hint="cs"/>
          <w:rtl/>
        </w:rPr>
        <w:t>ی</w:t>
      </w:r>
      <w:r>
        <w:rPr>
          <w:rtl/>
        </w:rPr>
        <w:t>م: «وَ فِيهِ أَنَّ إِلْحَاقَ الْجَبِينَيْنِ بِالْجَبْهَةِ فِي مَسْحِ التَّيَمُّمِ يَرْجِعُ إِلَى تَعْيِينِ صِفَاتِ الْبَدَلِ».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مربوط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صفات است و قاعده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هر کدام تابع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خودشان هستند. در وضو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«مَا دَارَتِ ال</w:t>
      </w:r>
      <w:r>
        <w:rPr>
          <w:rFonts w:hint="eastAsia"/>
          <w:rtl/>
        </w:rPr>
        <w:t>ْوَجْهُ»</w:t>
      </w:r>
      <w:r>
        <w:rPr>
          <w:rtl/>
        </w:rPr>
        <w:t xml:space="preserve"> وجود دارد، </w:t>
      </w:r>
      <w:r>
        <w:rPr>
          <w:rtl/>
        </w:rPr>
        <w:lastRenderedPageBreak/>
        <w:t>اما در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واقع،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در مستند آمده، ردّ</w:t>
      </w:r>
      <w:r>
        <w:rPr>
          <w:rFonts w:hint="cs"/>
          <w:rtl/>
        </w:rPr>
        <w:t>ی</w:t>
      </w:r>
      <w:r>
        <w:rPr>
          <w:rtl/>
        </w:rPr>
        <w:t xml:space="preserve"> است بر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رد، مردود است و سخن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در صفات، قاعده کل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ندارد.</w:t>
      </w:r>
    </w:p>
    <w:p w14:paraId="19E8092E" w14:textId="105FB1B5" w:rsidR="00F9300E" w:rsidRDefault="00FA1577" w:rsidP="00F9300E">
      <w:pPr>
        <w:rPr>
          <w:rtl/>
        </w:rPr>
      </w:pPr>
      <w:r>
        <w:rPr>
          <w:rtl/>
        </w:rPr>
        <w:t>۲. اشتراط عدم تخلل حدث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نماز اصل</w:t>
      </w:r>
      <w:r>
        <w:rPr>
          <w:rFonts w:hint="cs"/>
          <w:rtl/>
        </w:rPr>
        <w:t>ی</w:t>
      </w:r>
      <w:r>
        <w:rPr>
          <w:rtl/>
        </w:rPr>
        <w:t>: در بحث شکوک صح</w:t>
      </w:r>
      <w:r>
        <w:rPr>
          <w:rFonts w:hint="cs"/>
          <w:rtl/>
        </w:rPr>
        <w:t>ی</w:t>
      </w:r>
      <w:r>
        <w:rPr>
          <w:rFonts w:hint="eastAsia"/>
          <w:rtl/>
        </w:rPr>
        <w:t>حه،</w:t>
      </w:r>
      <w:r>
        <w:rPr>
          <w:rtl/>
        </w:rPr>
        <w:t xml:space="preserve"> مصل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از اتمام نماز و بنا را بر اکثر گذاشتن،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بخواند.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اصل</w:t>
      </w:r>
      <w:r>
        <w:rPr>
          <w:rFonts w:hint="cs"/>
          <w:rtl/>
        </w:rPr>
        <w:t>ی</w:t>
      </w:r>
      <w:r>
        <w:rPr>
          <w:rtl/>
        </w:rPr>
        <w:t xml:space="preserve"> و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tl/>
        </w:rPr>
        <w:t xml:space="preserve"> حدث</w:t>
      </w:r>
      <w:r>
        <w:rPr>
          <w:rFonts w:hint="cs"/>
          <w:rtl/>
        </w:rPr>
        <w:t>ی</w:t>
      </w:r>
      <w:r>
        <w:rPr>
          <w:rtl/>
        </w:rPr>
        <w:t xml:space="preserve"> از او سر بزند،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است؟ برخ</w:t>
      </w:r>
      <w:r>
        <w:rPr>
          <w:rFonts w:hint="cs"/>
          <w:rtl/>
        </w:rPr>
        <w:t>ی</w:t>
      </w:r>
      <w:r>
        <w:rPr>
          <w:rtl/>
        </w:rPr>
        <w:t xml:space="preserve"> با استناد به قاعده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گفته‌اند</w:t>
      </w:r>
      <w:r>
        <w:rPr>
          <w:rtl/>
        </w:rPr>
        <w:t xml:space="preserve"> چون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بدل از جزء فراموش شده است، همان‌طور که در خود نماز، حدث مبطل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مبطل است.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رد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Pr="000F5061">
        <w:rPr>
          <w:color w:val="000080"/>
          <w:rtl/>
        </w:rPr>
        <w:t>الْقَوْلُ بِأَنَّ مُقْتَضَى الْبَدَلِيَّةِ هُوَ كَوْنُ الْبَدَلِ فِي حُكْمِ الْمُبْدَلِ مِنْهُ مُط</w:t>
      </w:r>
      <w:r w:rsidRPr="000F5061">
        <w:rPr>
          <w:rFonts w:hint="eastAsia"/>
          <w:color w:val="000080"/>
          <w:rtl/>
        </w:rPr>
        <w:t>ْلَقاً</w:t>
      </w:r>
      <w:r w:rsidRPr="000F5061">
        <w:rPr>
          <w:color w:val="000080"/>
          <w:rtl/>
        </w:rPr>
        <w:t xml:space="preserve"> خَرَجَ مَا خَرَجَ بِالدَّلِيلِ، حَسَنٌ لَوْ كَانَ هُنَا مَا يُوجِبُ الْبَدَلِيَّةَ الْمُطْلَقَةَ</w:t>
      </w:r>
      <w:r>
        <w:rPr>
          <w:rtl/>
        </w:rPr>
        <w:t>»</w:t>
      </w:r>
      <w:r w:rsidR="005738DF">
        <w:rPr>
          <w:rStyle w:val="FootnoteReference"/>
          <w:rtl/>
        </w:rPr>
        <w:footnoteReference w:id="6"/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معتقد است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مطلقه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9300E">
        <w:rPr>
          <w:rFonts w:hint="cs"/>
          <w:rtl/>
        </w:rPr>
        <w:t xml:space="preserve"> و مجرد جعل بد کفایت نمی کند.</w:t>
      </w:r>
      <w:r>
        <w:rPr>
          <w:rtl/>
        </w:rPr>
        <w:t xml:space="preserve"> «</w:t>
      </w:r>
      <w:r w:rsidRPr="000F5061">
        <w:rPr>
          <w:color w:val="000080"/>
          <w:rtl/>
        </w:rPr>
        <w:t>وَ قَدْ عَرَفْتَ أَنَّهُ لَيْسَ إِلَّا بَعْضُ آثَارِهَا الْمُعَارَضَةِ بِبَعْضِ آثَارِ خِلَافِهَا</w:t>
      </w:r>
      <w:r>
        <w:rPr>
          <w:rtl/>
        </w:rPr>
        <w:t xml:space="preserve">».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فقط در </w:t>
      </w:r>
      <w:r w:rsidR="00242FC3">
        <w:rPr>
          <w:rFonts w:hint="cs"/>
          <w:rtl/>
        </w:rPr>
        <w:t>آثار و احکام</w:t>
      </w:r>
      <w:r>
        <w:rPr>
          <w:rtl/>
        </w:rPr>
        <w:t xml:space="preserve">، مانند </w:t>
      </w:r>
      <w:r w:rsidR="000F5061">
        <w:rPr>
          <w:rFonts w:hint="cs"/>
          <w:rtl/>
        </w:rPr>
        <w:t>إ</w:t>
      </w:r>
      <w:r>
        <w:rPr>
          <w:rtl/>
        </w:rPr>
        <w:t>جزاء و اسقاط قضا و اعاده،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است، نه در همه </w:t>
      </w:r>
      <w:r w:rsidR="00242FC3">
        <w:rPr>
          <w:rFonts w:hint="cs"/>
          <w:rtl/>
        </w:rPr>
        <w:t xml:space="preserve">شرایط و خصوصیات و کیفیات، و اینها نیاز به دلیل جدا دارد </w:t>
      </w:r>
      <w:r>
        <w:rPr>
          <w:rtl/>
        </w:rPr>
        <w:t>.</w:t>
      </w:r>
    </w:p>
    <w:p w14:paraId="4BB9DB03" w14:textId="1F0271EA" w:rsidR="00FA1577" w:rsidRDefault="00FA1577" w:rsidP="00FA1577">
      <w:pPr>
        <w:rPr>
          <w:rtl/>
        </w:rPr>
      </w:pPr>
      <w:r>
        <w:rPr>
          <w:rtl/>
        </w:rPr>
        <w:t>۳. اعضا</w:t>
      </w:r>
      <w:r>
        <w:rPr>
          <w:rFonts w:hint="cs"/>
          <w:rtl/>
        </w:rPr>
        <w:t>ی</w:t>
      </w:r>
      <w:r>
        <w:rPr>
          <w:rtl/>
        </w:rPr>
        <w:t xml:space="preserve"> سبعه در سجده: اگر مصل</w:t>
      </w:r>
      <w:r>
        <w:rPr>
          <w:rFonts w:hint="cs"/>
          <w:rtl/>
        </w:rPr>
        <w:t>ی</w:t>
      </w:r>
      <w:r>
        <w:rPr>
          <w:rtl/>
        </w:rPr>
        <w:t xml:space="preserve"> نتواند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خود را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زخم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بگذارد، گفته‌اند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و اشاره سجده کند. حال سؤال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هفت‌گانه سجده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بگذارد؟ برخ</w:t>
      </w:r>
      <w:r>
        <w:rPr>
          <w:rFonts w:hint="cs"/>
          <w:rtl/>
        </w:rPr>
        <w:t>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قاعده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گفته‌اند بله.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</w:t>
      </w:r>
      <w:r>
        <w:rPr>
          <w:rFonts w:hint="eastAsia"/>
          <w:rtl/>
        </w:rPr>
        <w:t>بدل</w:t>
      </w:r>
      <w:r>
        <w:rPr>
          <w:rtl/>
        </w:rPr>
        <w:t xml:space="preserve"> از سجده اصل</w:t>
      </w:r>
      <w:r>
        <w:rPr>
          <w:rFonts w:hint="cs"/>
          <w:rtl/>
        </w:rPr>
        <w:t>ی</w:t>
      </w:r>
      <w:r>
        <w:rPr>
          <w:rtl/>
        </w:rPr>
        <w:t xml:space="preserve"> است و در سجده اصل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اعضا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باشند. مرحوم آقا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را رد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Pr="00B1447A">
        <w:rPr>
          <w:color w:val="000080"/>
          <w:rtl/>
        </w:rPr>
        <w:t>وَ لَا دَلِيلَ عَلَى انْتِقَالِ حُكْمِ الْمُبْدَلِ مِنْهُ إِلَى الْبَدَلِ</w:t>
      </w:r>
      <w:r>
        <w:rPr>
          <w:rtl/>
        </w:rPr>
        <w:t>».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معتقد است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1447A">
        <w:rPr>
          <w:rFonts w:hint="cs"/>
          <w:rtl/>
        </w:rPr>
        <w:t xml:space="preserve">بر اطلاق </w:t>
      </w:r>
      <w:r>
        <w:rPr>
          <w:rtl/>
        </w:rPr>
        <w:t>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 احکام </w:t>
      </w:r>
      <w:r>
        <w:rPr>
          <w:rFonts w:hint="eastAsia"/>
          <w:rtl/>
        </w:rPr>
        <w:t>مبدَل‌مِنه</w:t>
      </w:r>
      <w:r>
        <w:rPr>
          <w:rtl/>
        </w:rPr>
        <w:t xml:space="preserve"> به بدل منتقل شود.</w:t>
      </w:r>
    </w:p>
    <w:p w14:paraId="78B54D75" w14:textId="2C60203B" w:rsidR="00FA1577" w:rsidRDefault="00FA1577" w:rsidP="00FA1577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اولاً،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از باب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صفات سجده است که تابع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015A3E">
        <w:rPr>
          <w:rFonts w:hint="cs"/>
          <w:rtl/>
        </w:rPr>
        <w:t xml:space="preserve"> که اینجا آن تبعیت استفاده نمی شود</w:t>
      </w:r>
      <w:r>
        <w:rPr>
          <w:rFonts w:hint="eastAsia"/>
          <w:rtl/>
        </w:rPr>
        <w:t>،</w:t>
      </w:r>
      <w:r>
        <w:rPr>
          <w:rtl/>
        </w:rPr>
        <w:t xml:space="preserve"> نه آثار و احکام آن مانند صحت نماز و اسقاط قضا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</w:t>
      </w:r>
      <w:r w:rsidR="00015A3E">
        <w:rPr>
          <w:rFonts w:hint="cs"/>
          <w:rtl/>
        </w:rPr>
        <w:t xml:space="preserve"> و بدل تابع مبدل منه است</w:t>
      </w:r>
      <w:r>
        <w:rPr>
          <w:rtl/>
        </w:rPr>
        <w:t>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مبدَل‌مِنه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اگر مبدَل‌مِنه را فقط «گذاشتن جبهه ب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فقط بدل همان است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اعضا که مشکل</w:t>
      </w:r>
      <w:r>
        <w:rPr>
          <w:rFonts w:hint="cs"/>
          <w:rtl/>
        </w:rPr>
        <w:t>ی</w:t>
      </w:r>
      <w:r>
        <w:rPr>
          <w:rtl/>
        </w:rPr>
        <w:t xml:space="preserve"> ندارند،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حالت خود باق</w:t>
      </w:r>
      <w:r>
        <w:rPr>
          <w:rFonts w:hint="cs"/>
          <w:rtl/>
        </w:rPr>
        <w:t>ی</w:t>
      </w:r>
      <w:r>
        <w:rPr>
          <w:rtl/>
        </w:rPr>
        <w:t xml:space="preserve"> بمانند. اما اگر مبدَل‌مِنه را «کل سجده» (شامل همه اعضا</w:t>
      </w:r>
      <w:r>
        <w:rPr>
          <w:rFonts w:hint="cs"/>
          <w:rtl/>
        </w:rPr>
        <w:t>ی</w:t>
      </w:r>
      <w:r>
        <w:rPr>
          <w:rtl/>
        </w:rPr>
        <w:t xml:space="preserve"> سبعه)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بدل کل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لزوم</w:t>
      </w:r>
      <w:r>
        <w:rPr>
          <w:rFonts w:hint="cs"/>
          <w:rtl/>
        </w:rPr>
        <w:t>ی</w:t>
      </w:r>
      <w:r>
        <w:rPr>
          <w:rtl/>
        </w:rPr>
        <w:t xml:space="preserve"> به گذاشتن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اعضا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انجام کل سجده عاج</w:t>
      </w:r>
      <w:r>
        <w:rPr>
          <w:rFonts w:hint="eastAsia"/>
          <w:rtl/>
        </w:rPr>
        <w:t>ز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کاف</w:t>
      </w:r>
      <w:r>
        <w:rPr>
          <w:rFonts w:hint="cs"/>
          <w:rtl/>
        </w:rPr>
        <w:t>ی</w:t>
      </w:r>
      <w:r>
        <w:rPr>
          <w:rtl/>
        </w:rPr>
        <w:t xml:space="preserve"> است.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 (ا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خودش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 و صرفاً ا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مبدَل‌مِنه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42401F1D" w14:textId="18AD06F1" w:rsidR="00EE5188" w:rsidRDefault="00FA1577" w:rsidP="00EE5188">
      <w:pPr>
        <w:rPr>
          <w:rtl/>
        </w:rPr>
      </w:pPr>
      <w:r>
        <w:rPr>
          <w:rtl/>
        </w:rPr>
        <w:lastRenderedPageBreak/>
        <w:t>۴.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موقوفه: </w:t>
      </w:r>
      <w:r w:rsidR="00EE5188">
        <w:rPr>
          <w:rtl/>
        </w:rPr>
        <w:t>اگر ع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ن</w:t>
      </w:r>
      <w:r w:rsidR="00EE5188">
        <w:rPr>
          <w:rtl/>
        </w:rPr>
        <w:t xml:space="preserve"> موقوفه‌ا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مانند فرش مسجد، قابل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ت</w:t>
      </w:r>
      <w:r w:rsidR="00EE5188">
        <w:rPr>
          <w:rtl/>
        </w:rPr>
        <w:t xml:space="preserve"> انتفاع خود را از دست بدهد، هرچند هنوز ارزش مال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دارد، فقها فتوا داده‌اند که م</w:t>
      </w:r>
      <w:r w:rsidR="00EE5188">
        <w:rPr>
          <w:rFonts w:hint="cs"/>
          <w:rtl/>
        </w:rPr>
        <w:t>ی‌</w:t>
      </w:r>
      <w:r w:rsidR="00EE5188">
        <w:rPr>
          <w:rFonts w:hint="eastAsia"/>
          <w:rtl/>
        </w:rPr>
        <w:t>توان</w:t>
      </w:r>
      <w:r w:rsidR="00EE5188">
        <w:rPr>
          <w:rtl/>
        </w:rPr>
        <w:t xml:space="preserve"> آن را فروخت و به متاع د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گر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که برا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مسجد مناسب باشد، تبد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ل</w:t>
      </w:r>
      <w:r w:rsidR="00EE5188">
        <w:rPr>
          <w:rtl/>
        </w:rPr>
        <w:t xml:space="preserve"> کرد.</w:t>
      </w:r>
    </w:p>
    <w:p w14:paraId="7BC2215E" w14:textId="77777777" w:rsidR="00EE5188" w:rsidRDefault="00EE5188" w:rsidP="00EE5188">
      <w:pPr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بحث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احکامِ مبدَل (ع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</w:t>
      </w:r>
      <w:r>
        <w:rPr>
          <w:rFonts w:hint="cs"/>
          <w:rtl/>
        </w:rPr>
        <w:t>ۀ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داخل در ملک موقوفٌ‌لَه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موقوفه به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موقوفٌ‌لَه درنم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به عنوان مثال، اگر منزل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اولاد وقف شود، آن منزل ملک اولاد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حال سؤال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(عدم </w:t>
      </w:r>
      <w:r>
        <w:rPr>
          <w:rFonts w:hint="eastAsia"/>
          <w:rtl/>
        </w:rPr>
        <w:t>ورود</w:t>
      </w:r>
      <w:r>
        <w:rPr>
          <w:rtl/>
        </w:rPr>
        <w:t xml:space="preserve"> به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به بدلِ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که از فروش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موقوفه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ملک موقوفٌ‌لَه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14:paraId="1751662F" w14:textId="2224F9DC" w:rsidR="00EE5188" w:rsidRDefault="00EE5188" w:rsidP="00954FA6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که قائل به اطلاق قاعده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r w:rsidR="00954FA6">
        <w:rPr>
          <w:rFonts w:hint="cs"/>
          <w:rtl/>
        </w:rPr>
        <w:t xml:space="preserve">لکن در اینجا </w:t>
      </w:r>
      <w:r>
        <w:rPr>
          <w:rtl/>
        </w:rPr>
        <w:t>معتقد است که بدل</w:t>
      </w:r>
      <w:r w:rsidR="00954FA6">
        <w:rPr>
          <w:rFonts w:hint="cs"/>
          <w:rtl/>
        </w:rPr>
        <w:t xml:space="preserve"> هم </w:t>
      </w:r>
      <w:r>
        <w:rPr>
          <w:rtl/>
        </w:rPr>
        <w:t xml:space="preserve"> حکم </w:t>
      </w:r>
      <w:r w:rsidR="00954FA6">
        <w:rPr>
          <w:rFonts w:hint="cs"/>
          <w:rtl/>
        </w:rPr>
        <w:t>مبدل را دارد و نمی تواند داخل ملک شود.</w:t>
      </w:r>
      <w:r>
        <w:rPr>
          <w:rtl/>
        </w:rPr>
        <w:t xml:space="preserve"> ما که قائل به اطلاق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همان‌طور که اصل (مبدَل) داخل در ملک موقوفٌ‌لَه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بدل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داخل در ملک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14:paraId="63904E2C" w14:textId="77777777" w:rsidR="00EE5188" w:rsidRDefault="00EE5188" w:rsidP="00EE5188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لازم به ذکر است که مرحوم آقا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خاص، با کلام سابق خود تناقض دارد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Pr="00954FA6">
        <w:rPr>
          <w:color w:val="000080"/>
          <w:rtl/>
        </w:rPr>
        <w:t>الظَّاهِرُ أَنَّ حُكْمَ الْمُبْدَلِ يَتَرَتَّبُ عَلَى الْبَدَلِ مِنْ جَمِيعِ الْجِهَاتِ، فَلَا يَجُوزُ إِعْدَامُهُ وَ لَا هِبَتُهُ وَ لَا جَعْلُهُ مَهْرا</w:t>
      </w:r>
      <w:r w:rsidRPr="00954FA6">
        <w:rPr>
          <w:rFonts w:hint="eastAsia"/>
          <w:color w:val="000080"/>
          <w:rtl/>
        </w:rPr>
        <w:t>ً</w:t>
      </w:r>
      <w:r w:rsidRPr="00954FA6">
        <w:rPr>
          <w:color w:val="000080"/>
          <w:rtl/>
        </w:rPr>
        <w:t xml:space="preserve"> لِلزَّوْجِ وَ لَا أَكْلُهُ</w:t>
      </w:r>
      <w:r>
        <w:rPr>
          <w:rtl/>
        </w:rPr>
        <w:t>».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برخلاف مواضع د</w:t>
      </w:r>
      <w:r>
        <w:rPr>
          <w:rFonts w:hint="cs"/>
          <w:rtl/>
        </w:rPr>
        <w:t>ی</w:t>
      </w:r>
      <w:r>
        <w:rPr>
          <w:rFonts w:hint="eastAsia"/>
          <w:rtl/>
        </w:rPr>
        <w:t>گرش،</w:t>
      </w:r>
      <w:r>
        <w:rPr>
          <w:rtl/>
        </w:rPr>
        <w:t xml:space="preserve"> به اطلاق قاعده تمسک کرده و معتقد است بدل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ملک موقوفٌ‌لَه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ما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اما با مبنا</w:t>
      </w:r>
      <w:r>
        <w:rPr>
          <w:rFonts w:hint="cs"/>
          <w:rtl/>
        </w:rPr>
        <w:t>ی</w:t>
      </w:r>
      <w:r>
        <w:rPr>
          <w:rtl/>
        </w:rPr>
        <w:t xml:space="preserve"> سابق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عدم اطلاق قاعده، در تناقض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تمسک کرده باشد،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استناد نکرده، بلکه به خودِ قاعده اطلاق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تمسک کرده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نقضِ مبنا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408EA5A7" w14:textId="0F9E6DAA" w:rsidR="00EE5188" w:rsidRDefault="005A58A3" w:rsidP="00EE5188">
      <w:pPr>
        <w:rPr>
          <w:rtl/>
        </w:rPr>
      </w:pPr>
      <w:r>
        <w:rPr>
          <w:rFonts w:hint="cs"/>
          <w:rtl/>
        </w:rPr>
        <w:t>5-</w:t>
      </w:r>
      <w:r w:rsidR="00EE5188">
        <w:rPr>
          <w:rtl/>
        </w:rPr>
        <w:t xml:space="preserve"> اعتبار تعدد در شهادت بر شهادت</w:t>
      </w:r>
      <w:r>
        <w:rPr>
          <w:rFonts w:hint="cs"/>
          <w:rtl/>
        </w:rPr>
        <w:t>؛</w:t>
      </w:r>
      <w:r w:rsidR="00EE5188">
        <w:rPr>
          <w:rtl/>
        </w:rPr>
        <w:t xml:space="preserve"> در باب قضا، شهادت با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د</w:t>
      </w:r>
      <w:r w:rsidR="00EE5188">
        <w:rPr>
          <w:rtl/>
        </w:rPr>
        <w:t xml:space="preserve"> توسط دو شاهد عادل (ب</w:t>
      </w:r>
      <w:r w:rsidR="00EE5188">
        <w:rPr>
          <w:rFonts w:hint="cs"/>
          <w:rtl/>
        </w:rPr>
        <w:t>یّ</w:t>
      </w:r>
      <w:r w:rsidR="00EE5188">
        <w:rPr>
          <w:rFonts w:hint="eastAsia"/>
          <w:rtl/>
        </w:rPr>
        <w:t>نه</w:t>
      </w:r>
      <w:r w:rsidR="00EE5188">
        <w:rPr>
          <w:rtl/>
        </w:rPr>
        <w:t xml:space="preserve">) ارائه شود و شهادت 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ک</w:t>
      </w:r>
      <w:r w:rsidR="00EE5188">
        <w:rPr>
          <w:rtl/>
        </w:rPr>
        <w:t xml:space="preserve"> نفر کفا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ت</w:t>
      </w:r>
      <w:r w:rsidR="00EE5188">
        <w:rPr>
          <w:rtl/>
        </w:rPr>
        <w:t xml:space="preserve"> نم</w:t>
      </w:r>
      <w:r w:rsidR="00EE5188">
        <w:rPr>
          <w:rFonts w:hint="cs"/>
          <w:rtl/>
        </w:rPr>
        <w:t>ی‌</w:t>
      </w:r>
      <w:r w:rsidR="00EE5188">
        <w:rPr>
          <w:rFonts w:hint="eastAsia"/>
          <w:rtl/>
        </w:rPr>
        <w:t>کند</w:t>
      </w:r>
      <w:r w:rsidR="00EE5188">
        <w:rPr>
          <w:rtl/>
        </w:rPr>
        <w:t>. حال اگر شهادت بر شهادت باشد (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عن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کس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شهادت دهد که د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گر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شهادت داده است)، آ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ا</w:t>
      </w:r>
      <w:r w:rsidR="00EE5188">
        <w:rPr>
          <w:rtl/>
        </w:rPr>
        <w:t xml:space="preserve"> در ا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نجا</w:t>
      </w:r>
      <w:r w:rsidR="00EE5188">
        <w:rPr>
          <w:rtl/>
        </w:rPr>
        <w:t xml:space="preserve"> ن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ز</w:t>
      </w:r>
      <w:r w:rsidR="00EE5188">
        <w:rPr>
          <w:rtl/>
        </w:rPr>
        <w:t xml:space="preserve"> تعدد شرط است؟ برخ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با استنا</w:t>
      </w:r>
      <w:r w:rsidR="00EE5188">
        <w:rPr>
          <w:rFonts w:hint="eastAsia"/>
          <w:rtl/>
        </w:rPr>
        <w:t>د</w:t>
      </w:r>
      <w:r w:rsidR="00EE5188">
        <w:rPr>
          <w:rtl/>
        </w:rPr>
        <w:t xml:space="preserve"> به اطلاق قاعده بدل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ت</w:t>
      </w:r>
      <w:r w:rsidR="00EE5188">
        <w:rPr>
          <w:rtl/>
        </w:rPr>
        <w:t xml:space="preserve"> گفته‌اند بله؛ چون شهادت بر شهادت، بدل از شهادت اصل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است و با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د</w:t>
      </w:r>
      <w:r w:rsidR="00EE5188">
        <w:rPr>
          <w:rtl/>
        </w:rPr>
        <w:t xml:space="preserve"> احکام آن از جمله تعدد را داشته باشد. اما کسان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که قائل به اطلاق قاعده ن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ستند،</w:t>
      </w:r>
      <w:r w:rsidR="00EE5188">
        <w:rPr>
          <w:rtl/>
        </w:rPr>
        <w:t xml:space="preserve"> ا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ن</w:t>
      </w:r>
      <w:r w:rsidR="00EE5188">
        <w:rPr>
          <w:rtl/>
        </w:rPr>
        <w:t xml:space="preserve"> را نپذ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رفته‌اند،</w:t>
      </w:r>
      <w:r w:rsidR="00EE5188">
        <w:rPr>
          <w:rtl/>
        </w:rPr>
        <w:t xml:space="preserve"> ز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را</w:t>
      </w:r>
      <w:r w:rsidR="00EE5188">
        <w:rPr>
          <w:rtl/>
        </w:rPr>
        <w:t xml:space="preserve"> ا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ن</w:t>
      </w:r>
      <w:r w:rsidR="00EE5188">
        <w:rPr>
          <w:rtl/>
        </w:rPr>
        <w:t xml:space="preserve"> امر را از احکام نم</w:t>
      </w:r>
      <w:r w:rsidR="00EE5188">
        <w:rPr>
          <w:rFonts w:hint="cs"/>
          <w:rtl/>
        </w:rPr>
        <w:t>ی‌</w:t>
      </w:r>
      <w:r w:rsidR="00EE5188">
        <w:rPr>
          <w:rFonts w:hint="eastAsia"/>
          <w:rtl/>
        </w:rPr>
        <w:t>دانند</w:t>
      </w:r>
      <w:r w:rsidR="00EE5188">
        <w:rPr>
          <w:rtl/>
        </w:rPr>
        <w:t xml:space="preserve"> بلکه از صفات و ک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ف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ت</w:t>
      </w:r>
      <w:r w:rsidR="00EE5188">
        <w:rPr>
          <w:rtl/>
        </w:rPr>
        <w:t xml:space="preserve"> شهادت م</w:t>
      </w:r>
      <w:r w:rsidR="00EE5188">
        <w:rPr>
          <w:rFonts w:hint="cs"/>
          <w:rtl/>
        </w:rPr>
        <w:t>ی‌</w:t>
      </w:r>
      <w:r w:rsidR="00EE5188">
        <w:rPr>
          <w:rFonts w:hint="eastAsia"/>
          <w:rtl/>
        </w:rPr>
        <w:t>شمارند</w:t>
      </w:r>
      <w:r w:rsidR="00EE5188">
        <w:rPr>
          <w:rtl/>
        </w:rPr>
        <w:t xml:space="preserve"> که قاعده بدل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ت</w:t>
      </w:r>
      <w:r w:rsidR="00EE5188">
        <w:rPr>
          <w:rtl/>
        </w:rPr>
        <w:t xml:space="preserve"> در آن جار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ن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ست</w:t>
      </w:r>
      <w:r w:rsidR="00EE5188">
        <w:rPr>
          <w:rtl/>
        </w:rPr>
        <w:t>.</w:t>
      </w:r>
    </w:p>
    <w:p w14:paraId="344BFEDF" w14:textId="69566319" w:rsidR="00EE5188" w:rsidRDefault="008E0902" w:rsidP="00EE5188">
      <w:pPr>
        <w:rPr>
          <w:rtl/>
        </w:rPr>
      </w:pPr>
      <w:r>
        <w:rPr>
          <w:rFonts w:hint="cs"/>
          <w:rtl/>
        </w:rPr>
        <w:t>6-</w:t>
      </w:r>
      <w:r w:rsidR="00EE5188">
        <w:rPr>
          <w:rtl/>
        </w:rPr>
        <w:t xml:space="preserve"> شروع از بالا در مسح ت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مم</w:t>
      </w:r>
      <w:r>
        <w:rPr>
          <w:rFonts w:hint="cs"/>
          <w:rtl/>
        </w:rPr>
        <w:t>؛ بحث آن گذشت.</w:t>
      </w:r>
    </w:p>
    <w:p w14:paraId="029B5D85" w14:textId="5AACB491" w:rsidR="00EE5188" w:rsidRDefault="00E01053" w:rsidP="00D33F0E">
      <w:pPr>
        <w:rPr>
          <w:rtl/>
        </w:rPr>
      </w:pPr>
      <w:r>
        <w:rPr>
          <w:rFonts w:hint="cs"/>
          <w:rtl/>
        </w:rPr>
        <w:lastRenderedPageBreak/>
        <w:t>7-</w:t>
      </w:r>
      <w:r w:rsidR="00EE5188">
        <w:rPr>
          <w:rtl/>
        </w:rPr>
        <w:t xml:space="preserve"> ت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مم</w:t>
      </w:r>
      <w:r w:rsidR="00EE5188">
        <w:rPr>
          <w:rtl/>
        </w:rPr>
        <w:t xml:space="preserve"> واحد برا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اغسال متعدده</w:t>
      </w:r>
      <w:r w:rsidR="00EE7658">
        <w:rPr>
          <w:rFonts w:hint="cs"/>
          <w:rtl/>
        </w:rPr>
        <w:t xml:space="preserve">؛ </w:t>
      </w:r>
      <w:r w:rsidR="00EE5188">
        <w:rPr>
          <w:rtl/>
        </w:rPr>
        <w:t>ا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ن</w:t>
      </w:r>
      <w:r w:rsidR="00EE5188">
        <w:rPr>
          <w:rtl/>
        </w:rPr>
        <w:t xml:space="preserve"> فرع بس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ار</w:t>
      </w:r>
      <w:r w:rsidR="00EE5188">
        <w:rPr>
          <w:rtl/>
        </w:rPr>
        <w:t xml:space="preserve"> مهم و مبتلابه است. همان‌طور که برا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اسباب متعدد غسل، 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ک</w:t>
      </w:r>
      <w:r w:rsidR="00EE5188">
        <w:rPr>
          <w:rtl/>
        </w:rPr>
        <w:t xml:space="preserve"> غسل کاف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است («يُجْزِئُكَ غُسْلٌ وَاحِدٌ»)، آ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ا</w:t>
      </w:r>
      <w:r w:rsidR="00EE5188">
        <w:rPr>
          <w:rtl/>
        </w:rPr>
        <w:t xml:space="preserve"> برا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اسباب متعدد، 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ک</w:t>
      </w:r>
      <w:r w:rsidR="00EE5188">
        <w:rPr>
          <w:rtl/>
        </w:rPr>
        <w:t xml:space="preserve"> ت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مم</w:t>
      </w:r>
      <w:r w:rsidR="00EE5188">
        <w:rPr>
          <w:rtl/>
        </w:rPr>
        <w:t xml:space="preserve"> ن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ز</w:t>
      </w:r>
      <w:r w:rsidR="00EE5188">
        <w:rPr>
          <w:rtl/>
        </w:rPr>
        <w:t xml:space="preserve"> کفا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ت</w:t>
      </w:r>
      <w:r w:rsidR="00EE5188">
        <w:rPr>
          <w:rtl/>
        </w:rPr>
        <w:t xml:space="preserve"> م</w:t>
      </w:r>
      <w:r w:rsidR="00EE5188">
        <w:rPr>
          <w:rFonts w:hint="cs"/>
          <w:rtl/>
        </w:rPr>
        <w:t>ی‌</w:t>
      </w:r>
      <w:r w:rsidR="00EE5188">
        <w:rPr>
          <w:rFonts w:hint="eastAsia"/>
          <w:rtl/>
        </w:rPr>
        <w:t>کند؟</w:t>
      </w:r>
      <w:r w:rsidR="00EE5188">
        <w:rPr>
          <w:rtl/>
        </w:rPr>
        <w:t xml:space="preserve"> کس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که قائل به اطلاق بدل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ت</w:t>
      </w:r>
      <w:r w:rsidR="00EE5188">
        <w:rPr>
          <w:rtl/>
        </w:rPr>
        <w:t xml:space="preserve"> باشد، م</w:t>
      </w:r>
      <w:r w:rsidR="00EE5188">
        <w:rPr>
          <w:rFonts w:hint="cs"/>
          <w:rtl/>
        </w:rPr>
        <w:t>ی‌</w:t>
      </w:r>
      <w:r w:rsidR="00EE5188">
        <w:rPr>
          <w:rFonts w:hint="eastAsia"/>
          <w:rtl/>
        </w:rPr>
        <w:t>گو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د</w:t>
      </w:r>
      <w:r w:rsidR="00EE5188">
        <w:rPr>
          <w:rtl/>
        </w:rPr>
        <w:t xml:space="preserve"> بله. ا</w:t>
      </w:r>
      <w:r w:rsidR="00EE5188">
        <w:rPr>
          <w:rFonts w:hint="eastAsia"/>
          <w:rtl/>
        </w:rPr>
        <w:t>ما</w:t>
      </w:r>
      <w:r w:rsidR="00EE5188">
        <w:rPr>
          <w:rtl/>
        </w:rPr>
        <w:t xml:space="preserve"> کس</w:t>
      </w:r>
      <w:r w:rsidR="00EE5188">
        <w:rPr>
          <w:rFonts w:hint="cs"/>
          <w:rtl/>
        </w:rPr>
        <w:t>ی</w:t>
      </w:r>
      <w:r w:rsidR="00EE5188">
        <w:rPr>
          <w:rtl/>
        </w:rPr>
        <w:t xml:space="preserve"> که قائل نباشد، م</w:t>
      </w:r>
      <w:r w:rsidR="00EE5188">
        <w:rPr>
          <w:rFonts w:hint="cs"/>
          <w:rtl/>
        </w:rPr>
        <w:t>ی‌</w:t>
      </w:r>
      <w:r w:rsidR="00EE5188">
        <w:rPr>
          <w:rFonts w:hint="eastAsia"/>
          <w:rtl/>
        </w:rPr>
        <w:t>گو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د</w:t>
      </w:r>
      <w:r w:rsidR="00EE5188">
        <w:rPr>
          <w:rtl/>
        </w:rPr>
        <w:t xml:space="preserve"> خ</w:t>
      </w:r>
      <w:r w:rsidR="00EE5188">
        <w:rPr>
          <w:rFonts w:hint="cs"/>
          <w:rtl/>
        </w:rPr>
        <w:t>ی</w:t>
      </w:r>
      <w:r w:rsidR="00EE5188">
        <w:rPr>
          <w:rFonts w:hint="eastAsia"/>
          <w:rtl/>
        </w:rPr>
        <w:t>ر</w:t>
      </w:r>
      <w:r w:rsidR="00EE5188">
        <w:rPr>
          <w:rtl/>
        </w:rPr>
        <w:t>.</w:t>
      </w:r>
    </w:p>
    <w:sectPr w:rsidR="00EE5188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A7BF7" w14:textId="77777777" w:rsidR="00A32E9E" w:rsidRDefault="00A32E9E" w:rsidP="00DB25E6">
      <w:pPr>
        <w:spacing w:after="0" w:line="240" w:lineRule="auto"/>
      </w:pPr>
      <w:r>
        <w:separator/>
      </w:r>
    </w:p>
  </w:endnote>
  <w:endnote w:type="continuationSeparator" w:id="0">
    <w:p w14:paraId="53356D6F" w14:textId="77777777" w:rsidR="00A32E9E" w:rsidRDefault="00A32E9E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53C72" w14:textId="77777777" w:rsidR="00A32E9E" w:rsidRDefault="00A32E9E" w:rsidP="00DB25E6">
      <w:pPr>
        <w:spacing w:after="0" w:line="240" w:lineRule="auto"/>
      </w:pPr>
      <w:r>
        <w:separator/>
      </w:r>
    </w:p>
  </w:footnote>
  <w:footnote w:type="continuationSeparator" w:id="0">
    <w:p w14:paraId="0B78DB76" w14:textId="77777777" w:rsidR="00A32E9E" w:rsidRDefault="00A32E9E" w:rsidP="00DB25E6">
      <w:pPr>
        <w:spacing w:after="0" w:line="240" w:lineRule="auto"/>
      </w:pPr>
      <w:r>
        <w:continuationSeparator/>
      </w:r>
    </w:p>
  </w:footnote>
  <w:footnote w:id="1">
    <w:p w14:paraId="0035AA98" w14:textId="4A841EFB" w:rsidR="00100852" w:rsidRPr="00100852" w:rsidRDefault="00100852" w:rsidP="00100852">
      <w:pPr>
        <w:pStyle w:val="FootnoteText"/>
      </w:pPr>
      <w:r w:rsidRPr="00100852">
        <w:footnoteRef/>
      </w:r>
      <w:r w:rsidRPr="00100852">
        <w:rPr>
          <w:rtl/>
        </w:rPr>
        <w:t xml:space="preserve"> </w:t>
      </w:r>
      <w:hyperlink r:id="rId1" w:history="1">
        <w:r w:rsidRPr="00100852">
          <w:rPr>
            <w:rStyle w:val="Hyperlink"/>
            <w:rFonts w:hint="eastAsia"/>
            <w:rtl/>
          </w:rPr>
          <w:t>الفوائد</w:t>
        </w:r>
        <w:r w:rsidRPr="00100852">
          <w:rPr>
            <w:rStyle w:val="Hyperlink"/>
            <w:rtl/>
          </w:rPr>
          <w:t xml:space="preserve"> الحائرية، الوحيد البهبهاني، محمّد باقر، ج1، ص431.</w:t>
        </w:r>
      </w:hyperlink>
    </w:p>
  </w:footnote>
  <w:footnote w:id="2">
    <w:p w14:paraId="1174E681" w14:textId="312D3467" w:rsidR="00100852" w:rsidRDefault="00100852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مائده، آیه 6</w:t>
      </w:r>
    </w:p>
  </w:footnote>
  <w:footnote w:id="3">
    <w:p w14:paraId="554E48F5" w14:textId="118FDACE" w:rsidR="00AA0E38" w:rsidRPr="00AA0E38" w:rsidRDefault="00AA0E38" w:rsidP="00AA0E38">
      <w:pPr>
        <w:pStyle w:val="FootnoteText"/>
      </w:pPr>
      <w:r w:rsidRPr="00AA0E38">
        <w:footnoteRef/>
      </w:r>
      <w:r w:rsidRPr="00AA0E38">
        <w:rPr>
          <w:rtl/>
        </w:rPr>
        <w:t xml:space="preserve"> </w:t>
      </w:r>
      <w:hyperlink r:id="rId2" w:history="1">
        <w:r w:rsidRPr="00AA0E38">
          <w:rPr>
            <w:rStyle w:val="Hyperlink"/>
            <w:rFonts w:hint="eastAsia"/>
            <w:rtl/>
          </w:rPr>
          <w:t>جواهر</w:t>
        </w:r>
        <w:r w:rsidRPr="00AA0E38">
          <w:rPr>
            <w:rStyle w:val="Hyperlink"/>
            <w:rtl/>
          </w:rPr>
          <w:t xml:space="preserve"> الكلام، النجفي الجواهري، الشيخ محمد حسن، ج9، ص305.</w:t>
        </w:r>
      </w:hyperlink>
    </w:p>
  </w:footnote>
  <w:footnote w:id="4">
    <w:p w14:paraId="09A78C2B" w14:textId="3AA5ACBD" w:rsidR="005738DF" w:rsidRPr="005738DF" w:rsidRDefault="005738DF" w:rsidP="005738DF">
      <w:pPr>
        <w:pStyle w:val="FootnoteText"/>
      </w:pPr>
      <w:r w:rsidRPr="005738DF">
        <w:footnoteRef/>
      </w:r>
      <w:r w:rsidRPr="005738DF">
        <w:rPr>
          <w:rtl/>
        </w:rPr>
        <w:t xml:space="preserve"> </w:t>
      </w:r>
      <w:hyperlink r:id="rId3" w:history="1">
        <w:r w:rsidRPr="005738DF">
          <w:rPr>
            <w:rStyle w:val="Hyperlink"/>
            <w:rtl/>
          </w:rPr>
          <w:t>المعتبر في شرح المختصر، المحقق الحلي، ج2، ص286.</w:t>
        </w:r>
      </w:hyperlink>
    </w:p>
  </w:footnote>
  <w:footnote w:id="5">
    <w:p w14:paraId="1267363C" w14:textId="13CC3898" w:rsidR="005738DF" w:rsidRPr="005738DF" w:rsidRDefault="005738DF" w:rsidP="005738DF">
      <w:pPr>
        <w:pStyle w:val="FootnoteText"/>
      </w:pPr>
      <w:r w:rsidRPr="005738DF">
        <w:footnoteRef/>
      </w:r>
      <w:r w:rsidRPr="005738DF">
        <w:rPr>
          <w:rtl/>
        </w:rPr>
        <w:t xml:space="preserve"> </w:t>
      </w:r>
      <w:hyperlink r:id="rId4" w:history="1">
        <w:r w:rsidRPr="005738DF">
          <w:rPr>
            <w:rStyle w:val="Hyperlink"/>
            <w:rtl/>
          </w:rPr>
          <w:t>مستند الشّيعة، النراقي، المولى احمد، ج3، ص439.</w:t>
        </w:r>
      </w:hyperlink>
    </w:p>
  </w:footnote>
  <w:footnote w:id="6">
    <w:p w14:paraId="423133DC" w14:textId="321ACBCD" w:rsidR="005738DF" w:rsidRPr="005738DF" w:rsidRDefault="005738DF" w:rsidP="005738DF">
      <w:pPr>
        <w:pStyle w:val="FootnoteText"/>
      </w:pPr>
      <w:r w:rsidRPr="005738DF">
        <w:footnoteRef/>
      </w:r>
      <w:r w:rsidRPr="005738DF">
        <w:rPr>
          <w:rtl/>
        </w:rPr>
        <w:t xml:space="preserve"> </w:t>
      </w:r>
      <w:hyperlink r:id="rId5" w:history="1">
        <w:r w:rsidRPr="005738DF">
          <w:rPr>
            <w:rStyle w:val="Hyperlink"/>
            <w:rtl/>
          </w:rPr>
          <w:t>أحكام الخلل في الصلاة، الشيخ مرتضى الأنصاري، ج1، ص227.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485B9318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C32B39">
      <w:rPr>
        <w:rFonts w:ascii="Noor_Zar" w:hAnsi="Noor_Zar" w:cs="B Mitra" w:hint="cs"/>
        <w:b/>
        <w:bCs/>
        <w:sz w:val="20"/>
        <w:szCs w:val="20"/>
        <w:rtl/>
      </w:rPr>
      <w:t>1</w:t>
    </w:r>
    <w:r w:rsidR="009019A7">
      <w:rPr>
        <w:rFonts w:ascii="Noor_Zar" w:hAnsi="Noor_Zar" w:cs="B Mitra" w:hint="cs"/>
        <w:b/>
        <w:bCs/>
        <w:sz w:val="20"/>
        <w:szCs w:val="20"/>
        <w:rtl/>
      </w:rPr>
      <w:t>1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A49BF">
      <w:rPr>
        <w:rFonts w:ascii="Noor_Zar" w:hAnsi="Noor_Zar" w:cs="B Mitra" w:hint="cs"/>
        <w:b/>
        <w:bCs/>
        <w:sz w:val="20"/>
        <w:szCs w:val="20"/>
        <w:rtl/>
      </w:rPr>
      <w:t>8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0A"/>
    <w:rsid w:val="007F027F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436"/>
    <w:rsid w:val="008D7754"/>
    <w:rsid w:val="008D77DA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56"/>
    <w:rsid w:val="00AF736E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E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46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61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b.eshia.ir/10048/2/286/&#1575;&#1604;&#1576;&#1583;&#1604;" TargetMode="External"/><Relationship Id="rId2" Type="http://schemas.openxmlformats.org/officeDocument/2006/relationships/hyperlink" Target="https://lib.eshia.ir/10088/9/305/&#1575;&#1604;&#1576;&#1583;&#1604;&#1740;&#1577;" TargetMode="External"/><Relationship Id="rId1" Type="http://schemas.openxmlformats.org/officeDocument/2006/relationships/hyperlink" Target="https://lib.eshia.ir/13089/1/431/&#1575;&#1604;&#1578;&#1740;&#1605;&#1605;" TargetMode="External"/><Relationship Id="rId5" Type="http://schemas.openxmlformats.org/officeDocument/2006/relationships/hyperlink" Target="https://lib.eshia.ir/10059/1/227/&#1608;&#1575;&#1604;&#1602;&#1608;&#1604;" TargetMode="External"/><Relationship Id="rId4" Type="http://schemas.openxmlformats.org/officeDocument/2006/relationships/hyperlink" Target="https://lib.eshia.ir/10153/3/439/&#1576;&#1583;&#1604;&#1575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1670</Words>
  <Characters>9522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35</cp:revision>
  <cp:lastPrinted>2023-11-05T18:44:00Z</cp:lastPrinted>
  <dcterms:created xsi:type="dcterms:W3CDTF">2025-11-02T17:27:00Z</dcterms:created>
  <dcterms:modified xsi:type="dcterms:W3CDTF">2025-11-02T18:52:00Z</dcterms:modified>
</cp:coreProperties>
</file>