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224BC29A" w14:textId="61213379" w:rsidR="00BD3E27" w:rsidRPr="00BD3E27" w:rsidRDefault="002546B4" w:rsidP="005357C6">
      <w:pPr>
        <w:pStyle w:val="Heading2"/>
        <w:rPr>
          <w:rtl/>
        </w:rPr>
      </w:pPr>
      <w:r>
        <w:rPr>
          <w:rFonts w:hint="cs"/>
          <w:rtl/>
        </w:rPr>
        <w:t>حکم ارشادی</w:t>
      </w:r>
    </w:p>
    <w:p w14:paraId="6BA2ACCC" w14:textId="77777777" w:rsidR="0051718F" w:rsidRDefault="0051718F" w:rsidP="0051718F">
      <w:pPr>
        <w:rPr>
          <w:rtl/>
        </w:rPr>
      </w:pPr>
      <w:r>
        <w:rPr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از اوامر 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>
        <w:rPr>
          <w:rtl/>
        </w:rPr>
        <w:t xml:space="preserve"> صورت است که نه</w:t>
      </w:r>
      <w:r>
        <w:rPr>
          <w:rFonts w:hint="cs"/>
          <w:rtl/>
        </w:rPr>
        <w:t>ی</w:t>
      </w:r>
      <w:r>
        <w:rPr>
          <w:rtl/>
        </w:rPr>
        <w:t xml:space="preserve"> در خطابِ شارع، ارشاد به حکم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اگر خطاب ارشادِ به حکم عقل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احکام اربعه را از آن استفاده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امر، «وجوب و استحباب» و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«کراهت و حرمت».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آن اس</w:t>
      </w:r>
      <w:r>
        <w:rPr>
          <w:rFonts w:hint="eastAsia"/>
          <w:rtl/>
        </w:rPr>
        <w:t>ت</w:t>
      </w:r>
      <w:r>
        <w:rPr>
          <w:rtl/>
        </w:rPr>
        <w:t xml:space="preserve"> که عقل در افعال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احکام عقل عمل</w:t>
      </w:r>
      <w:r>
        <w:rPr>
          <w:rFonts w:hint="cs"/>
          <w:rtl/>
        </w:rPr>
        <w:t>ی</w:t>
      </w:r>
      <w:r>
        <w:rPr>
          <w:rtl/>
        </w:rPr>
        <w:t xml:space="preserve"> (با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)،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حکمِ الزام</w:t>
      </w:r>
      <w:r>
        <w:rPr>
          <w:rFonts w:hint="cs"/>
          <w:rtl/>
        </w:rPr>
        <w:t>ی</w:t>
      </w:r>
      <w:r>
        <w:rPr>
          <w:rtl/>
        </w:rPr>
        <w:t xml:space="preserve"> به انجام فعل دارد، مانند شکرِ مُنعِم و اقامه‌</w:t>
      </w:r>
      <w:r>
        <w:rPr>
          <w:rFonts w:hint="cs"/>
          <w:rtl/>
        </w:rPr>
        <w:t>ی</w:t>
      </w:r>
      <w:r>
        <w:rPr>
          <w:rtl/>
        </w:rPr>
        <w:t xml:space="preserve"> عدل؛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الزام</w:t>
      </w:r>
      <w:r>
        <w:rPr>
          <w:rFonts w:hint="cs"/>
          <w:rtl/>
        </w:rPr>
        <w:t>ی</w:t>
      </w:r>
      <w:r>
        <w:rPr>
          <w:rtl/>
        </w:rPr>
        <w:t xml:space="preserve"> دارد، مانند احسانِ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5ACBF356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حکم عقل الزام</w:t>
      </w:r>
      <w:r>
        <w:rPr>
          <w:rFonts w:hint="cs"/>
          <w:rtl/>
        </w:rPr>
        <w:t>ی</w:t>
      </w:r>
      <w:r>
        <w:rPr>
          <w:rtl/>
        </w:rPr>
        <w:t xml:space="preserve"> باشد، اگر از جانب شارع امر</w:t>
      </w:r>
      <w:r>
        <w:rPr>
          <w:rFonts w:hint="cs"/>
          <w:rtl/>
        </w:rPr>
        <w:t>ی</w:t>
      </w:r>
      <w:r>
        <w:rPr>
          <w:rtl/>
        </w:rPr>
        <w:t xml:space="preserve"> به آن متعلقِ حکم عقل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از آن استفاده‌</w:t>
      </w:r>
      <w:r>
        <w:rPr>
          <w:rFonts w:hint="cs"/>
          <w:rtl/>
        </w:rPr>
        <w:t>ی</w:t>
      </w:r>
      <w:r>
        <w:rPr>
          <w:rtl/>
        </w:rPr>
        <w:t xml:space="preserve"> وجوب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امرِ ارشاد</w:t>
      </w:r>
      <w:r>
        <w:rPr>
          <w:rFonts w:hint="cs"/>
          <w:rtl/>
        </w:rPr>
        <w:t>ی</w:t>
      </w:r>
      <w:r>
        <w:rPr>
          <w:rtl/>
        </w:rPr>
        <w:t xml:space="preserve"> به حکم عقل است. به عنوان مثال اگر شارع به عبادت و اطاعتِ الله امر کند و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الله»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اع</w:t>
      </w:r>
      <w:r>
        <w:rPr>
          <w:rFonts w:hint="eastAsia"/>
          <w:rtl/>
        </w:rPr>
        <w:t>بدوا</w:t>
      </w:r>
      <w:r>
        <w:rPr>
          <w:rtl/>
        </w:rPr>
        <w:t xml:space="preserve"> ربکم»،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چون عقل حکم مستقل و الزام</w:t>
      </w:r>
      <w:r>
        <w:rPr>
          <w:rFonts w:hint="cs"/>
          <w:rtl/>
        </w:rPr>
        <w:t>ی</w:t>
      </w:r>
      <w:r>
        <w:rPr>
          <w:rtl/>
        </w:rPr>
        <w:t xml:space="preserve"> به لزوم اطاعت دارد،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امرِ شرع</w:t>
      </w:r>
      <w:r>
        <w:rPr>
          <w:rFonts w:hint="cs"/>
          <w:rtl/>
        </w:rPr>
        <w:t>ی</w:t>
      </w:r>
      <w:r>
        <w:rPr>
          <w:rtl/>
        </w:rPr>
        <w:t xml:space="preserve"> استفاده‌</w:t>
      </w:r>
      <w:r>
        <w:rPr>
          <w:rFonts w:hint="cs"/>
          <w:rtl/>
        </w:rPr>
        <w:t>ی</w:t>
      </w:r>
      <w:r>
        <w:rPr>
          <w:rtl/>
        </w:rPr>
        <w:t xml:space="preserve"> وجوب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D43135D" w14:textId="6E9D5E4C" w:rsidR="0051718F" w:rsidRDefault="0051718F" w:rsidP="0051718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حکم عقل الزام</w:t>
      </w:r>
      <w:r>
        <w:rPr>
          <w:rFonts w:hint="cs"/>
          <w:rtl/>
        </w:rPr>
        <w:t>ی</w:t>
      </w:r>
      <w:r>
        <w:rPr>
          <w:rtl/>
        </w:rPr>
        <w:t xml:space="preserve"> نباشد بلکه رجحان</w:t>
      </w:r>
      <w:r>
        <w:rPr>
          <w:rFonts w:hint="cs"/>
          <w:rtl/>
        </w:rPr>
        <w:t>ی</w:t>
      </w:r>
      <w:r>
        <w:rPr>
          <w:rtl/>
        </w:rPr>
        <w:t xml:space="preserve"> باشد و عقل آن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(که شامل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موارد محسنات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)، اگر از جانب شارع امر</w:t>
      </w:r>
      <w:r>
        <w:rPr>
          <w:rFonts w:hint="cs"/>
          <w:rtl/>
        </w:rPr>
        <w:t>ی</w:t>
      </w:r>
      <w:r>
        <w:rPr>
          <w:rtl/>
        </w:rPr>
        <w:t xml:space="preserve"> برسد، مانند امر به احسان در «</w:t>
      </w:r>
      <w:r w:rsidR="00C46A8E" w:rsidRPr="00C46A8E">
        <w:rPr>
          <w:rtl/>
        </w:rPr>
        <w:t xml:space="preserve"> </w:t>
      </w:r>
      <w:r w:rsidR="00C46A8E" w:rsidRPr="00C46A8E">
        <w:rPr>
          <w:color w:val="008000"/>
          <w:rtl/>
        </w:rPr>
        <w:t>وَأَحْسِنْ كَمَا أَحْسَنَ اللَّهُ إِلَيْكَ</w:t>
      </w:r>
      <w:r>
        <w:rPr>
          <w:rFonts w:hint="eastAsia"/>
          <w:rtl/>
        </w:rPr>
        <w:t>»</w:t>
      </w:r>
      <w:r w:rsidR="00C46A8E">
        <w:rPr>
          <w:rStyle w:val="FootnoteReference"/>
          <w:rtl/>
        </w:rPr>
        <w:footnoteReference w:id="1"/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استفاده‌</w:t>
      </w:r>
      <w:r>
        <w:rPr>
          <w:rFonts w:hint="cs"/>
          <w:rtl/>
        </w:rPr>
        <w:t>ی</w:t>
      </w:r>
      <w:r>
        <w:rPr>
          <w:rtl/>
        </w:rPr>
        <w:t xml:space="preserve"> استحباب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حکم غ</w:t>
      </w:r>
      <w:r>
        <w:rPr>
          <w:rFonts w:hint="cs"/>
          <w:rtl/>
        </w:rPr>
        <w:t>ی</w:t>
      </w:r>
      <w:r>
        <w:rPr>
          <w:rFonts w:hint="eastAsia"/>
          <w:rtl/>
        </w:rPr>
        <w:t>رالزام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رجحان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ارشاد به آن حکم عقل </w:t>
      </w:r>
      <w:r w:rsidR="00E305F9">
        <w:rPr>
          <w:rFonts w:hint="cs"/>
          <w:rtl/>
        </w:rPr>
        <w:t xml:space="preserve">دارد و شارع آن را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امضا</w:t>
      </w:r>
      <w:r w:rsidR="00E305F9">
        <w:rPr>
          <w:rFonts w:hint="cs"/>
          <w:rtl/>
        </w:rPr>
        <w:t xml:space="preserve"> کرده است</w:t>
      </w:r>
      <w:r>
        <w:rPr>
          <w:rtl/>
        </w:rPr>
        <w:t>.</w:t>
      </w:r>
    </w:p>
    <w:p w14:paraId="714AD0EA" w14:textId="0FF09303" w:rsidR="0051718F" w:rsidRDefault="0051718F" w:rsidP="0051718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اگر در جا</w:t>
      </w:r>
      <w:r>
        <w:rPr>
          <w:rFonts w:hint="cs"/>
          <w:rtl/>
        </w:rPr>
        <w:t>یی</w:t>
      </w:r>
      <w:r>
        <w:rPr>
          <w:rtl/>
        </w:rPr>
        <w:t xml:space="preserve"> عقل حکم به نه</w:t>
      </w:r>
      <w:r>
        <w:rPr>
          <w:rFonts w:hint="cs"/>
          <w:rtl/>
        </w:rPr>
        <w:t>یِ</w:t>
      </w:r>
      <w:r>
        <w:rPr>
          <w:rtl/>
        </w:rPr>
        <w:t xml:space="preserve"> الزام</w:t>
      </w:r>
      <w:r>
        <w:rPr>
          <w:rFonts w:hint="cs"/>
          <w:rtl/>
        </w:rPr>
        <w:t>ی</w:t>
      </w:r>
      <w:r>
        <w:rPr>
          <w:rtl/>
        </w:rPr>
        <w:t xml:space="preserve"> داشته باشد، مانند قبح ظلم، و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</w:t>
      </w:r>
      <w:r w:rsidR="00B212C9" w:rsidRPr="00B212C9">
        <w:rPr>
          <w:rtl/>
        </w:rPr>
        <w:t xml:space="preserve"> </w:t>
      </w:r>
      <w:r w:rsidR="00B212C9" w:rsidRPr="00B212C9">
        <w:rPr>
          <w:color w:val="008000"/>
          <w:rtl/>
        </w:rPr>
        <w:t>لَا تَظْلِمُونَ وَلَا تُظْلَمُونَ</w:t>
      </w:r>
      <w:r>
        <w:rPr>
          <w:rtl/>
        </w:rPr>
        <w:t>»</w:t>
      </w:r>
      <w:r w:rsidR="00B212C9">
        <w:rPr>
          <w:rStyle w:val="FootnoteReference"/>
          <w:rtl/>
        </w:rPr>
        <w:footnoteReference w:id="2"/>
      </w:r>
      <w:r>
        <w:rPr>
          <w:rtl/>
        </w:rPr>
        <w:t xml:space="preserve"> وارد شود،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استفاده‌</w:t>
      </w:r>
      <w:r>
        <w:rPr>
          <w:rFonts w:hint="cs"/>
          <w:rtl/>
        </w:rPr>
        <w:t>ی</w:t>
      </w:r>
      <w:r>
        <w:rPr>
          <w:rtl/>
        </w:rPr>
        <w:t xml:space="preserve"> حرمت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ارشاد به حکم عقل و منعِ الزام</w:t>
      </w:r>
      <w:r>
        <w:rPr>
          <w:rFonts w:hint="cs"/>
          <w:rtl/>
        </w:rPr>
        <w:t>ی</w:t>
      </w:r>
      <w:r>
        <w:rPr>
          <w:rtl/>
        </w:rPr>
        <w:t xml:space="preserve"> است. اما اگر چنانچه منعِ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الزام</w:t>
      </w:r>
      <w:r>
        <w:rPr>
          <w:rFonts w:hint="cs"/>
          <w:rtl/>
        </w:rPr>
        <w:t>ی</w:t>
      </w:r>
      <w:r>
        <w:rPr>
          <w:rtl/>
        </w:rPr>
        <w:t xml:space="preserve"> باشد، مان</w:t>
      </w:r>
      <w:r>
        <w:rPr>
          <w:rFonts w:hint="eastAsia"/>
          <w:rtl/>
        </w:rPr>
        <w:t>ند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که عقل حکمِ منع غ</w:t>
      </w:r>
      <w:r>
        <w:rPr>
          <w:rFonts w:hint="cs"/>
          <w:rtl/>
        </w:rPr>
        <w:t>ی</w:t>
      </w:r>
      <w:r>
        <w:rPr>
          <w:rFonts w:hint="eastAsia"/>
          <w:rtl/>
        </w:rPr>
        <w:t>رالزام</w:t>
      </w:r>
      <w:r>
        <w:rPr>
          <w:rFonts w:hint="cs"/>
          <w:rtl/>
        </w:rPr>
        <w:t>ی</w:t>
      </w:r>
      <w:r>
        <w:rPr>
          <w:rtl/>
        </w:rPr>
        <w:t xml:space="preserve"> دارد، در صورت</w:t>
      </w:r>
      <w:r>
        <w:rPr>
          <w:rFonts w:hint="cs"/>
          <w:rtl/>
        </w:rPr>
        <w:t>ی</w:t>
      </w:r>
      <w:r>
        <w:rPr>
          <w:rtl/>
        </w:rPr>
        <w:t xml:space="preserve"> که در شرع نه</w:t>
      </w:r>
      <w:r>
        <w:rPr>
          <w:rFonts w:hint="cs"/>
          <w:rtl/>
        </w:rPr>
        <w:t>یی</w:t>
      </w:r>
      <w:r>
        <w:rPr>
          <w:rtl/>
        </w:rPr>
        <w:t xml:space="preserve"> وارد شود که ارشاد به آن حکم عقل باشد، حمل بر کراهت و «مرغوبٌ‌عنه» بودن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E3DA40E" w14:textId="0B3A365E" w:rsidR="0051718F" w:rsidRDefault="0051718F" w:rsidP="0051718F">
      <w:pPr>
        <w:rPr>
          <w:rtl/>
        </w:rPr>
      </w:pPr>
      <w:r>
        <w:rPr>
          <w:rtl/>
        </w:rPr>
        <w:t>در خصوص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افعال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دارد که در جلسات درس سال‌ها</w:t>
      </w:r>
      <w:r>
        <w:rPr>
          <w:rFonts w:hint="cs"/>
          <w:rtl/>
        </w:rPr>
        <w:t>ی</w:t>
      </w:r>
      <w:r>
        <w:rPr>
          <w:rtl/>
        </w:rPr>
        <w:t xml:space="preserve"> گذشته مطرح کرده‌ام و در کتاب‌ها</w:t>
      </w:r>
      <w:r>
        <w:rPr>
          <w:rFonts w:hint="cs"/>
          <w:rtl/>
        </w:rPr>
        <w:t>ی</w:t>
      </w:r>
      <w:r>
        <w:rPr>
          <w:rtl/>
        </w:rPr>
        <w:t xml:space="preserve"> «بدا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FB289C">
        <w:rPr>
          <w:rFonts w:hint="cs"/>
          <w:rtl/>
        </w:rPr>
        <w:t xml:space="preserve"> البحوث</w:t>
      </w:r>
      <w:r>
        <w:rPr>
          <w:rFonts w:hint="eastAsia"/>
          <w:rtl/>
        </w:rPr>
        <w:t>»</w:t>
      </w:r>
      <w:r>
        <w:rPr>
          <w:rtl/>
        </w:rPr>
        <w:t xml:space="preserve"> و «دقا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B289C">
        <w:rPr>
          <w:rFonts w:hint="cs"/>
          <w:rtl/>
        </w:rPr>
        <w:t xml:space="preserve"> الاصول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شده است که مراجعه به آن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14:paraId="7DCBA172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lastRenderedPageBreak/>
        <w:t>نکته‌</w:t>
      </w:r>
      <w:r>
        <w:rPr>
          <w:rFonts w:hint="cs"/>
          <w:rtl/>
        </w:rPr>
        <w:t>ی</w:t>
      </w:r>
      <w:r>
        <w:rPr>
          <w:rtl/>
        </w:rPr>
        <w:t xml:space="preserve"> حائز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در «ارشاد به خواص»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معلله‌ا</w:t>
      </w:r>
      <w:r>
        <w:rPr>
          <w:rFonts w:hint="cs"/>
          <w:rtl/>
        </w:rPr>
        <w:t>ی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صدها مورد از آن در باب اطعمه و اشربه و حلال و حرام وارد شده است، متفاهم عرف</w:t>
      </w:r>
      <w:r>
        <w:rPr>
          <w:rFonts w:hint="cs"/>
          <w:rtl/>
        </w:rPr>
        <w:t>ی</w:t>
      </w:r>
      <w:r>
        <w:rPr>
          <w:rtl/>
        </w:rPr>
        <w:t xml:space="preserve"> و اهل عرف از آن نصوص، جز ارشاد به خواصِ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(مانند غذاها)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اوامر و نواه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هرگز احکام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استخراج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مگر به نحو تبع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التزام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18479300" w14:textId="2F575F92" w:rsidR="00996937" w:rsidRDefault="0051718F" w:rsidP="0051718F">
      <w:pPr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نمونه در </w:t>
      </w:r>
      <w:r w:rsidR="00B859DD">
        <w:rPr>
          <w:rFonts w:hint="cs"/>
          <w:rtl/>
        </w:rPr>
        <w:t xml:space="preserve">آداب غذا </w:t>
      </w:r>
      <w:r>
        <w:rPr>
          <w:rtl/>
        </w:rPr>
        <w:t xml:space="preserve"> آمده است: «</w:t>
      </w:r>
      <w:r w:rsidR="00B859DD" w:rsidRPr="00B859DD">
        <w:rPr>
          <w:rtl/>
        </w:rPr>
        <w:t xml:space="preserve"> </w:t>
      </w:r>
      <w:r w:rsidR="00B859DD" w:rsidRPr="00B859DD">
        <w:rPr>
          <w:color w:val="008000"/>
          <w:rtl/>
        </w:rPr>
        <w:t>مُحَمَّدُ بْنُ يَعْقُوبَ عَنْ عَلِيِّ بْنِ إِبْرَاهِيمَ عَنْ أَبِيهِ عَنِ اِبْنِ أَبِي عُمَيْرٍ عَنْ حَمَّادِ بْنِ عُثْمَانَ عَنْ أَبِي عَبْدِ اَللَّهِ عَلَيْهِ اَلسَّلاَمُ قَالَ: إِذَا بَلَغَ اَلرَّجُلُ خَمْسِينَ سَنَةً فَلاَ يَبِيتَنَّ وَ فِي جَوْفِهِ شَيْءٌ مِنَ اَلسَّمْن</w:t>
      </w:r>
      <w:r>
        <w:rPr>
          <w:rtl/>
        </w:rPr>
        <w:t>»</w:t>
      </w:r>
      <w:r w:rsidR="00B859DD">
        <w:rPr>
          <w:rStyle w:val="FootnoteReference"/>
          <w:rtl/>
        </w:rPr>
        <w:footnoteReference w:id="3"/>
      </w:r>
      <w:r>
        <w:rPr>
          <w:rtl/>
        </w:rPr>
        <w:t>. اگر نه</w:t>
      </w:r>
      <w:r>
        <w:rPr>
          <w:rFonts w:hint="cs"/>
          <w:rtl/>
        </w:rPr>
        <w:t>ی</w:t>
      </w:r>
      <w:r>
        <w:rPr>
          <w:rtl/>
        </w:rPr>
        <w:t xml:space="preserve"> ارشاد به وجود ضرر باشد (ارشاد به «ما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الضرر»)، از آنجا که در شرع قاعده‌</w:t>
      </w:r>
      <w:r>
        <w:rPr>
          <w:rFonts w:hint="cs"/>
          <w:rtl/>
        </w:rPr>
        <w:t>ی</w:t>
      </w:r>
      <w:r>
        <w:rPr>
          <w:rtl/>
        </w:rPr>
        <w:t xml:space="preserve"> «لا ضرر و لا ضرار» حاکم است و ا</w:t>
      </w:r>
      <w:r>
        <w:rPr>
          <w:rFonts w:hint="eastAsia"/>
          <w:rtl/>
        </w:rPr>
        <w:t>جماع</w:t>
      </w:r>
      <w:r>
        <w:rPr>
          <w:rtl/>
        </w:rPr>
        <w:t xml:space="preserve"> و نص بر حرمتِ تناول ش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ضررِ قابل‌توجه (بالغ) وجود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موضوع را برا</w:t>
      </w:r>
      <w:r>
        <w:rPr>
          <w:rFonts w:hint="cs"/>
          <w:rtl/>
        </w:rPr>
        <w:t>ی</w:t>
      </w:r>
      <w:r>
        <w:rPr>
          <w:rtl/>
        </w:rPr>
        <w:t xml:space="preserve"> آن حکم 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96937">
        <w:rPr>
          <w:rFonts w:hint="cs"/>
          <w:rtl/>
        </w:rPr>
        <w:t xml:space="preserve">(عقل یا شرع) </w:t>
      </w:r>
      <w:r>
        <w:rPr>
          <w:rtl/>
        </w:rPr>
        <w:t>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07FD95FE" w14:textId="1656BAC3" w:rsidR="0051718F" w:rsidRDefault="0051718F" w:rsidP="0051718F">
      <w:pPr>
        <w:rPr>
          <w:rtl/>
        </w:rPr>
      </w:pP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مورد فوا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موجب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بدن شود، طبعاً شارع به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بدن امر نموده است و ما در باب بدن نصوص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بدن امر </w:t>
      </w:r>
      <w:r>
        <w:rPr>
          <w:rFonts w:hint="eastAsia"/>
          <w:rtl/>
        </w:rPr>
        <w:t>و</w:t>
      </w:r>
      <w:r>
        <w:rPr>
          <w:rtl/>
        </w:rPr>
        <w:t xml:space="preserve"> از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نه</w:t>
      </w:r>
      <w:r>
        <w:rPr>
          <w:rFonts w:hint="cs"/>
          <w:rtl/>
        </w:rPr>
        <w:t>ی</w:t>
      </w:r>
      <w:r>
        <w:rPr>
          <w:rtl/>
        </w:rPr>
        <w:t xml:space="preserve"> کرده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موضوع برا</w:t>
      </w:r>
      <w:r>
        <w:rPr>
          <w:rFonts w:hint="cs"/>
          <w:rtl/>
        </w:rPr>
        <w:t>ی</w:t>
      </w:r>
      <w:r>
        <w:rPr>
          <w:rtl/>
        </w:rPr>
        <w:t xml:space="preserve"> حکم عقل و شرع نقش دارند، وگرنه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جز ارشاد به خواص، متضمن حکم</w:t>
      </w:r>
      <w:r>
        <w:rPr>
          <w:rFonts w:hint="cs"/>
          <w:rtl/>
        </w:rPr>
        <w:t>ی</w:t>
      </w:r>
      <w:r>
        <w:rPr>
          <w:rtl/>
        </w:rPr>
        <w:t xml:space="preserve"> از احکام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14:paraId="7C5C97D3" w14:textId="77777777" w:rsidR="00B80E12" w:rsidRDefault="00B80E12" w:rsidP="0051718F">
      <w:pPr>
        <w:rPr>
          <w:rtl/>
        </w:rPr>
      </w:pPr>
      <w:r>
        <w:rPr>
          <w:rFonts w:hint="cs"/>
          <w:rtl/>
        </w:rPr>
        <w:t>نهی عقیب امر</w:t>
      </w:r>
    </w:p>
    <w:p w14:paraId="77ACF75F" w14:textId="12701C46" w:rsidR="007C5FA9" w:rsidRDefault="0051718F" w:rsidP="007C5FA9">
      <w:pPr>
        <w:rPr>
          <w:color w:val="000080"/>
          <w:rtl/>
        </w:rPr>
      </w:pPr>
      <w:r>
        <w:rPr>
          <w:rtl/>
        </w:rPr>
        <w:t>اگر امر</w:t>
      </w:r>
      <w:r>
        <w:rPr>
          <w:rFonts w:hint="cs"/>
          <w:rtl/>
        </w:rPr>
        <w:t>ی</w:t>
      </w:r>
      <w:r>
        <w:rPr>
          <w:rtl/>
        </w:rPr>
        <w:t xml:space="preserve"> صادر شود و پس از آن نه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موارد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وجود دارد.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همان‌طور که امرِ واردِ عق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حظر (منع) دلالت بر اباحه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هم اگر عق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دلالت بر اباحه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 w:rsidR="004B7FBC">
        <w:rPr>
          <w:rFonts w:hint="cs"/>
          <w:rtl/>
        </w:rPr>
        <w:t>کلام شیخ انصاری: «</w:t>
      </w:r>
      <w:r w:rsidR="007C5FA9" w:rsidRPr="007C5FA9">
        <w:rPr>
          <w:rtl/>
        </w:rPr>
        <w:t xml:space="preserve"> </w:t>
      </w:r>
      <w:r w:rsidR="007C5FA9" w:rsidRPr="007C5FA9">
        <w:rPr>
          <w:color w:val="000080"/>
          <w:rtl/>
        </w:rPr>
        <w:t>فيكون المقام مثل ما ذكروا في الأمر الوارد عقيب الحظر فإنّ المستفاد منه ليس الوجوب ، مع أنّ الظاهر بحسب اللغة هو الوجوب ، إذ لا فرق بين ورود الأمر عقيب النهي وبين ورود النهي عقيب الأمر ، فإنّهما في مرحلة سواء.</w:t>
      </w:r>
      <w:r w:rsidR="007C5FA9">
        <w:rPr>
          <w:rFonts w:hint="cs"/>
          <w:color w:val="000080"/>
          <w:rtl/>
        </w:rPr>
        <w:t>»</w:t>
      </w:r>
      <w:r w:rsidR="0096494D">
        <w:rPr>
          <w:rStyle w:val="FootnoteReference"/>
          <w:color w:val="000080"/>
          <w:rtl/>
        </w:rPr>
        <w:footnoteReference w:id="4"/>
      </w:r>
    </w:p>
    <w:p w14:paraId="2E8C271D" w14:textId="77777777" w:rsidR="007C2E70" w:rsidRDefault="0051718F" w:rsidP="0096494D">
      <w:pPr>
        <w:rPr>
          <w:color w:val="000080"/>
          <w:rtl/>
        </w:rPr>
      </w:pP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برخ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کتاب «منتق</w:t>
      </w:r>
      <w:r>
        <w:rPr>
          <w:rFonts w:hint="cs"/>
          <w:rtl/>
        </w:rPr>
        <w:t>ی</w:t>
      </w:r>
      <w:r>
        <w:rPr>
          <w:rtl/>
        </w:rPr>
        <w:t xml:space="preserve"> الاصول»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 </w:t>
      </w:r>
      <w:r w:rsidR="0096494D">
        <w:rPr>
          <w:rFonts w:hint="cs"/>
          <w:rtl/>
        </w:rPr>
        <w:t>:«</w:t>
      </w:r>
      <w:r w:rsidR="0096494D" w:rsidRPr="0096494D">
        <w:rPr>
          <w:rtl/>
        </w:rPr>
        <w:t xml:space="preserve"> </w:t>
      </w:r>
      <w:r w:rsidR="0096494D" w:rsidRPr="0096494D">
        <w:rPr>
          <w:color w:val="000080"/>
          <w:rtl/>
        </w:rPr>
        <w:t>فهو نظير الأمر الواقع عقيب الحظر أو توهمه ، أو النهي الواقع عقيب الأمر أو توهمه ، في عدم إرادة المدلول المطابقي منهما ، بل يراد الكناية عن ارتفاع التحريم في الأول وارتفاع الإيجاب في الثاني. فتدبر.</w:t>
      </w:r>
      <w:r w:rsidR="0096494D">
        <w:rPr>
          <w:rFonts w:hint="cs"/>
          <w:color w:val="000080"/>
          <w:rtl/>
        </w:rPr>
        <w:t xml:space="preserve">» </w:t>
      </w:r>
      <w:r w:rsidR="0096494D">
        <w:rPr>
          <w:rStyle w:val="FootnoteReference"/>
          <w:color w:val="000080"/>
          <w:rtl/>
        </w:rPr>
        <w:footnoteReference w:id="5"/>
      </w:r>
    </w:p>
    <w:p w14:paraId="266FE341" w14:textId="1B8EAC08" w:rsidR="0051718F" w:rsidRDefault="0051718F" w:rsidP="0096494D">
      <w:pPr>
        <w:rPr>
          <w:rtl/>
        </w:rPr>
      </w:pPr>
      <w:r>
        <w:rPr>
          <w:rtl/>
        </w:rPr>
        <w:lastRenderedPageBreak/>
        <w:t xml:space="preserve"> نه</w:t>
      </w:r>
      <w:r>
        <w:rPr>
          <w:rFonts w:hint="cs"/>
          <w:rtl/>
        </w:rPr>
        <w:t>یِ</w:t>
      </w:r>
      <w:r>
        <w:rPr>
          <w:rtl/>
        </w:rPr>
        <w:t xml:space="preserve"> واقع‌شده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جاب،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ارتفاعِ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است،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امرِ واقع‌شده بعد از حظر که دلالت بر ارتفاع تح</w:t>
      </w:r>
      <w:r w:rsidR="00F44917">
        <w:rPr>
          <w:rFonts w:hint="cs"/>
          <w:rtl/>
        </w:rPr>
        <w:t>ریم</w:t>
      </w:r>
      <w:r>
        <w:rPr>
          <w:rtl/>
        </w:rPr>
        <w:t xml:space="preserve"> (منع) دارد.</w:t>
      </w:r>
    </w:p>
    <w:p w14:paraId="2D6DEE03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</w:t>
      </w:r>
      <w:r>
        <w:rPr>
          <w:rFonts w:hint="cs"/>
          <w:rtl/>
        </w:rPr>
        <w:t>ی</w:t>
      </w:r>
      <w:r>
        <w:rPr>
          <w:rtl/>
        </w:rPr>
        <w:t xml:space="preserve"> مشکل است. اولاً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 استعمالات کتاب و سنت متعارف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(برخلاف امرِ عق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حظر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است).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ذاتاً دلالت بر فساد و حرمت دارد و بدون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بله،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باشد، مثل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دال بر جواز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دال بر نه</w:t>
      </w:r>
      <w:r>
        <w:rPr>
          <w:rFonts w:hint="cs"/>
          <w:rtl/>
        </w:rPr>
        <w:t>ی</w:t>
      </w:r>
      <w:r>
        <w:rPr>
          <w:rtl/>
        </w:rPr>
        <w:t xml:space="preserve"> باشد، در آنجا نه</w:t>
      </w:r>
      <w:r>
        <w:rPr>
          <w:rFonts w:hint="cs"/>
          <w:rtl/>
        </w:rPr>
        <w:t>ی</w:t>
      </w:r>
      <w:r>
        <w:rPr>
          <w:rtl/>
        </w:rPr>
        <w:t xml:space="preserve"> را حمل بر کراهت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مسأله‌</w:t>
      </w:r>
      <w:r>
        <w:rPr>
          <w:rFonts w:hint="cs"/>
          <w:rtl/>
        </w:rPr>
        <w:t>ی</w:t>
      </w:r>
      <w:r>
        <w:rPr>
          <w:rtl/>
        </w:rPr>
        <w:t xml:space="preserve"> «نه</w:t>
      </w:r>
      <w:r>
        <w:rPr>
          <w:rFonts w:hint="cs"/>
          <w:rtl/>
        </w:rPr>
        <w:t>یِ</w:t>
      </w:r>
      <w:r>
        <w:rPr>
          <w:rtl/>
        </w:rPr>
        <w:t xml:space="preserve"> واردِ عق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امر»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خطاب واحد متفاوت است.</w:t>
      </w:r>
    </w:p>
    <w:p w14:paraId="6D50A1CF" w14:textId="7C9CBE81" w:rsidR="0051718F" w:rsidRDefault="0051718F" w:rsidP="0051718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موضع توهم وجوب، مانند امر در موضع توهم حظر، دلالت بر اباحه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کند؟»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اولاً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در شرع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 که شارع در موضع توهم وجوب نه</w:t>
      </w:r>
      <w:r>
        <w:rPr>
          <w:rFonts w:hint="cs"/>
          <w:rtl/>
        </w:rPr>
        <w:t>ی</w:t>
      </w:r>
      <w:r>
        <w:rPr>
          <w:rtl/>
        </w:rPr>
        <w:t xml:space="preserve"> کرده باشد؛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نادر است و اگر هم باشد، لسان آن معمولاً نف</w:t>
      </w:r>
      <w:r>
        <w:rPr>
          <w:rFonts w:hint="cs"/>
          <w:rtl/>
        </w:rPr>
        <w:t>ی</w:t>
      </w:r>
      <w:r>
        <w:rPr>
          <w:rtl/>
        </w:rPr>
        <w:t xml:space="preserve"> است. ث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عرف، اگر پزشک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را از خوردن دارو</w:t>
      </w:r>
      <w:r>
        <w:rPr>
          <w:rFonts w:hint="cs"/>
          <w:rtl/>
        </w:rPr>
        <w:t>یی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واجب است (به‌خاطر رو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>) نه</w:t>
      </w:r>
      <w:r>
        <w:rPr>
          <w:rFonts w:hint="cs"/>
          <w:rtl/>
        </w:rPr>
        <w:t>ی</w:t>
      </w:r>
      <w:r>
        <w:rPr>
          <w:rtl/>
        </w:rPr>
        <w:t xml:space="preserve"> کند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نخور»،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اباحه و جواز خوردن است؟ قطعاً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بلکه به معنا</w:t>
      </w:r>
      <w:r>
        <w:rPr>
          <w:rFonts w:hint="cs"/>
          <w:rtl/>
        </w:rPr>
        <w:t>ی</w:t>
      </w:r>
      <w:r>
        <w:rPr>
          <w:rtl/>
        </w:rPr>
        <w:t xml:space="preserve"> منع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وجدان</w:t>
      </w:r>
      <w:r>
        <w:rPr>
          <w:rFonts w:hint="cs"/>
          <w:rtl/>
        </w:rPr>
        <w:t>ی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صرف</w:t>
      </w:r>
      <w:r>
        <w:rPr>
          <w:rFonts w:hint="eastAsia"/>
          <w:rtl/>
        </w:rPr>
        <w:t>ِ</w:t>
      </w:r>
      <w:r>
        <w:rPr>
          <w:rtl/>
        </w:rPr>
        <w:t xml:space="preserve"> توهم وجوب، نه</w:t>
      </w:r>
      <w:r>
        <w:rPr>
          <w:rFonts w:hint="cs"/>
          <w:rtl/>
        </w:rPr>
        <w:t>ی</w:t>
      </w:r>
      <w:r>
        <w:rPr>
          <w:rtl/>
        </w:rPr>
        <w:t xml:space="preserve"> را از ظهور در حرمت و منع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بر خلاف آن باشد</w:t>
      </w:r>
      <w:r w:rsidR="00B9162D">
        <w:rPr>
          <w:rFonts w:hint="cs"/>
          <w:rtl/>
        </w:rPr>
        <w:t>. البته مثالی برای آن نیاورده اند.</w:t>
      </w:r>
    </w:p>
    <w:p w14:paraId="1322742B" w14:textId="57377290" w:rsidR="00B9162D" w:rsidRDefault="00B9162D" w:rsidP="00FD6F50">
      <w:pPr>
        <w:pStyle w:val="Heading2"/>
        <w:rPr>
          <w:rtl/>
        </w:rPr>
      </w:pPr>
      <w:r>
        <w:rPr>
          <w:rFonts w:hint="cs"/>
          <w:rtl/>
        </w:rPr>
        <w:t>فور و تراخی</w:t>
      </w:r>
    </w:p>
    <w:p w14:paraId="495C6F4B" w14:textId="60E040A9" w:rsidR="0051718F" w:rsidRDefault="0051718F" w:rsidP="0051718F">
      <w:pPr>
        <w:rPr>
          <w:rtl/>
        </w:rPr>
      </w:pPr>
      <w:r>
        <w:rPr>
          <w:rtl/>
        </w:rPr>
        <w:t xml:space="preserve"> همان‌طور که در بحث امر گفته شد،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امر تنها بر اصلِ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فعل و وجوب دلالت دارد و 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تراخ</w:t>
      </w:r>
      <w:r>
        <w:rPr>
          <w:rFonts w:hint="cs"/>
          <w:rtl/>
        </w:rPr>
        <w:t>ی</w:t>
      </w:r>
      <w:r>
        <w:rPr>
          <w:rtl/>
        </w:rPr>
        <w:t xml:space="preserve"> از مدلول وضع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حکم عقل به لزوم اطاعت، خارج است. اما نه</w:t>
      </w:r>
      <w:r>
        <w:rPr>
          <w:rFonts w:hint="cs"/>
          <w:rtl/>
        </w:rPr>
        <w:t>ی</w:t>
      </w:r>
      <w:r>
        <w:rPr>
          <w:rtl/>
        </w:rPr>
        <w:t xml:space="preserve"> برخلاف آن است. وقت</w:t>
      </w:r>
      <w:r>
        <w:rPr>
          <w:rFonts w:hint="cs"/>
          <w:rtl/>
        </w:rPr>
        <w:t>ی</w:t>
      </w:r>
      <w:r>
        <w:rPr>
          <w:rtl/>
        </w:rPr>
        <w:t xml:space="preserve"> عقل حکم به منع و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مخا</w:t>
      </w:r>
      <w:r>
        <w:rPr>
          <w:rFonts w:hint="eastAsia"/>
          <w:rtl/>
        </w:rPr>
        <w:t>لفتِ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که مکلف نه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عقل حکم به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ذاتِ خودِ نه</w:t>
      </w:r>
      <w:r>
        <w:rPr>
          <w:rFonts w:hint="cs"/>
          <w:rtl/>
        </w:rPr>
        <w:t>ی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</w:t>
      </w:r>
    </w:p>
    <w:p w14:paraId="7A267C11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 مربوط به ذات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فعل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ذاتِ نه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ذاتِ خودِ نه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</w:t>
      </w:r>
      <w:r>
        <w:rPr>
          <w:rFonts w:hint="cs"/>
          <w:rtl/>
        </w:rPr>
        <w:t>یی</w:t>
      </w:r>
      <w:r>
        <w:rPr>
          <w:rtl/>
        </w:rPr>
        <w:t xml:space="preserve">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طلبِ ترکِ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فردِ ارتکاب، نقض شده و مبغوضِ شارع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حافّه‌ا</w:t>
      </w:r>
      <w:r>
        <w:rPr>
          <w:rFonts w:hint="cs"/>
          <w:rtl/>
        </w:rPr>
        <w:t>ی</w:t>
      </w:r>
      <w:r>
        <w:rPr>
          <w:rtl/>
        </w:rPr>
        <w:t xml:space="preserve"> است که در خودِ نه</w:t>
      </w:r>
      <w:r>
        <w:rPr>
          <w:rFonts w:hint="cs"/>
          <w:rtl/>
        </w:rPr>
        <w:t>ی</w:t>
      </w:r>
      <w:r>
        <w:rPr>
          <w:rtl/>
        </w:rPr>
        <w:t xml:space="preserve"> اخذ شده و به خطاب نه</w:t>
      </w:r>
      <w:r>
        <w:rPr>
          <w:rFonts w:hint="cs"/>
          <w:rtl/>
        </w:rPr>
        <w:t>ی</w:t>
      </w:r>
      <w:r>
        <w:rPr>
          <w:rtl/>
        </w:rPr>
        <w:t xml:space="preserve"> ظهور در 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آن جدا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17280A1" w14:textId="70BADDD5" w:rsidR="0051718F" w:rsidRDefault="0051718F" w:rsidP="0051718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بحث «دلالت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فساد»، علما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در کتب خود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در «العدة»،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«الذر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عة»،</w:t>
      </w:r>
      <w:r>
        <w:rPr>
          <w:rtl/>
        </w:rPr>
        <w:t xml:space="preserve"> تون</w:t>
      </w:r>
      <w:r>
        <w:rPr>
          <w:rFonts w:hint="cs"/>
          <w:rtl/>
        </w:rPr>
        <w:t>ی</w:t>
      </w:r>
      <w:r>
        <w:rPr>
          <w:rtl/>
        </w:rPr>
        <w:t xml:space="preserve"> در «الواف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ة»،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در «زبدة الاصول» و علامه حل</w:t>
      </w:r>
      <w:r>
        <w:rPr>
          <w:rFonts w:hint="cs"/>
          <w:rtl/>
        </w:rPr>
        <w:t>ی</w:t>
      </w:r>
      <w:r>
        <w:rPr>
          <w:rtl/>
        </w:rPr>
        <w:t xml:space="preserve"> در کتب متعدد خود (نها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الوصول،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الوصول و...)، همگ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قائل به 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 </w:t>
      </w:r>
      <w:r w:rsidR="00DC0E68">
        <w:rPr>
          <w:rFonts w:hint="cs"/>
          <w:rtl/>
        </w:rPr>
        <w:t xml:space="preserve">(اقتضاء النهی للفساد) </w:t>
      </w:r>
      <w:r>
        <w:rPr>
          <w:rtl/>
        </w:rPr>
        <w:t>در عبادات هستند.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«کشفِ نه</w:t>
      </w:r>
      <w:r>
        <w:rPr>
          <w:rFonts w:hint="cs"/>
          <w:rtl/>
        </w:rPr>
        <w:t>ی</w:t>
      </w:r>
      <w:r>
        <w:rPr>
          <w:rtl/>
        </w:rPr>
        <w:t xml:space="preserve"> از فساد» را به کار برده‌اند.</w:t>
      </w:r>
    </w:p>
    <w:p w14:paraId="10BD5C0F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لفظ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ملازمه‌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عبادت (ناش</w:t>
      </w:r>
      <w:r>
        <w:rPr>
          <w:rFonts w:hint="cs"/>
          <w:rtl/>
        </w:rPr>
        <w:t>ی</w:t>
      </w:r>
      <w:r>
        <w:rPr>
          <w:rtl/>
        </w:rPr>
        <w:t xml:space="preserve"> از نه</w:t>
      </w:r>
      <w:r>
        <w:rPr>
          <w:rFonts w:hint="cs"/>
          <w:rtl/>
        </w:rPr>
        <w:t>ی</w:t>
      </w:r>
      <w:r>
        <w:rPr>
          <w:rtl/>
        </w:rPr>
        <w:t>) و فسادِ آن وجود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عبادتِ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عنه،</w:t>
      </w:r>
      <w:r>
        <w:rPr>
          <w:rtl/>
        </w:rPr>
        <w:t xml:space="preserve"> مبغوض است و عبادتِ مبغوض، مُبعِّد (دورکننده)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مُبعِّد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مُقرِّب (نزد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>) باش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به عنوان قر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مدلول التزام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لفظ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اگرچه مشهور منطق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دلالت التزام</w:t>
      </w:r>
      <w:r>
        <w:rPr>
          <w:rFonts w:hint="cs"/>
          <w:rtl/>
        </w:rPr>
        <w:t>ی</w:t>
      </w:r>
      <w:r>
        <w:rPr>
          <w:rtl/>
        </w:rPr>
        <w:t xml:space="preserve"> را مشروط به ب</w:t>
      </w:r>
      <w:r>
        <w:rPr>
          <w:rFonts w:hint="cs"/>
          <w:rtl/>
        </w:rPr>
        <w:t>یّ</w:t>
      </w:r>
      <w:r>
        <w:rPr>
          <w:rFonts w:hint="eastAsia"/>
          <w:rtl/>
        </w:rPr>
        <w:t>نِ‌به‌معن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الاخص</w:t>
      </w:r>
      <w:r>
        <w:rPr>
          <w:rtl/>
        </w:rPr>
        <w:t xml:space="preserve"> بودن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اما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دلالت التزام</w:t>
      </w:r>
      <w:r>
        <w:rPr>
          <w:rFonts w:hint="cs"/>
          <w:rtl/>
        </w:rPr>
        <w:t>ی</w:t>
      </w:r>
      <w:r>
        <w:rPr>
          <w:rtl/>
        </w:rPr>
        <w:t xml:space="preserve"> اعم است و شامل ب</w:t>
      </w:r>
      <w:r>
        <w:rPr>
          <w:rFonts w:hint="cs"/>
          <w:rtl/>
        </w:rPr>
        <w:t>یّ</w:t>
      </w:r>
      <w:r>
        <w:rPr>
          <w:rFonts w:hint="eastAsia"/>
          <w:rtl/>
        </w:rPr>
        <w:t>نِ‌به‌معن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الاعم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متفاهم عرف</w:t>
      </w:r>
      <w:r>
        <w:rPr>
          <w:rFonts w:hint="cs"/>
          <w:rtl/>
        </w:rPr>
        <w:t>ی</w:t>
      </w:r>
      <w:r>
        <w:rPr>
          <w:rtl/>
        </w:rPr>
        <w:t xml:space="preserve"> آن را بفهمد.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اگرچه دلالت بر فساد ناش</w:t>
      </w:r>
      <w:r>
        <w:rPr>
          <w:rFonts w:hint="cs"/>
          <w:rtl/>
        </w:rPr>
        <w:t>ی</w:t>
      </w:r>
      <w:r>
        <w:rPr>
          <w:rtl/>
        </w:rPr>
        <w:t xml:space="preserve"> از حکم عقل است،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عقل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لفظِ نه</w:t>
      </w:r>
      <w:r>
        <w:rPr>
          <w:rFonts w:hint="cs"/>
          <w:rtl/>
        </w:rPr>
        <w:t>ی</w:t>
      </w:r>
      <w:r>
        <w:rPr>
          <w:rtl/>
        </w:rPr>
        <w:t xml:space="preserve"> دلالت بر فساد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(دلالت لفظ</w:t>
      </w:r>
      <w:r>
        <w:rPr>
          <w:rFonts w:hint="cs"/>
          <w:rtl/>
        </w:rPr>
        <w:t>ی</w:t>
      </w:r>
      <w:r>
        <w:rPr>
          <w:rtl/>
        </w:rPr>
        <w:t xml:space="preserve"> به کمک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>).</w:t>
      </w:r>
    </w:p>
    <w:p w14:paraId="4B816E6F" w14:textId="47AF8D6E" w:rsidR="0051718F" w:rsidRDefault="0051718F" w:rsidP="0051718F">
      <w:pPr>
        <w:rPr>
          <w:rtl/>
        </w:rPr>
      </w:pPr>
      <w:r>
        <w:rPr>
          <w:rFonts w:hint="eastAsia"/>
          <w:rtl/>
        </w:rPr>
        <w:t>نکته‌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خصوص وجه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مسأله‌</w:t>
      </w:r>
      <w:r>
        <w:rPr>
          <w:rFonts w:hint="cs"/>
          <w:rtl/>
        </w:rPr>
        <w:t>ی</w:t>
      </w:r>
      <w:r>
        <w:rPr>
          <w:rtl/>
        </w:rPr>
        <w:t xml:space="preserve"> «دلالت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</w:t>
      </w:r>
      <w:r w:rsidR="008A1B90">
        <w:rPr>
          <w:rFonts w:hint="cs"/>
          <w:rtl/>
        </w:rPr>
        <w:t xml:space="preserve"> در عبادات </w:t>
      </w:r>
      <w:r>
        <w:rPr>
          <w:rtl/>
        </w:rPr>
        <w:t>» و مسأله‌</w:t>
      </w:r>
      <w:r>
        <w:rPr>
          <w:rFonts w:hint="cs"/>
          <w:rtl/>
        </w:rPr>
        <w:t>ی</w:t>
      </w:r>
      <w:r>
        <w:rPr>
          <w:rtl/>
        </w:rPr>
        <w:t xml:space="preserve"> «اجتماع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چرا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باب را جدا کرده‌اند و مثلاً بحث «مقدمه واجب»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«ضد» را به عنوان وجه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نکردند؟</w:t>
      </w:r>
    </w:p>
    <w:p w14:paraId="3F768100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مسأله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«محل تلاق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دارند و آن جا</w:t>
      </w:r>
      <w:r>
        <w:rPr>
          <w:rFonts w:hint="cs"/>
          <w:rtl/>
        </w:rPr>
        <w:t>یی</w:t>
      </w:r>
      <w:r>
        <w:rPr>
          <w:rtl/>
        </w:rPr>
        <w:t xml:space="preserve"> است که فعل واحد</w:t>
      </w:r>
      <w:r>
        <w:rPr>
          <w:rFonts w:hint="cs"/>
          <w:rtl/>
        </w:rPr>
        <w:t>ی</w:t>
      </w:r>
      <w:r>
        <w:rPr>
          <w:rtl/>
        </w:rPr>
        <w:t xml:space="preserve"> (مانند نماز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>) مورد بحث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تلاق</w:t>
      </w:r>
      <w:r>
        <w:rPr>
          <w:rFonts w:hint="cs"/>
          <w:rtl/>
        </w:rPr>
        <w:t>ی</w:t>
      </w:r>
      <w:r>
        <w:rPr>
          <w:rtl/>
        </w:rPr>
        <w:t xml:space="preserve"> موجب شده تا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اشتباه، مرز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شود.</w:t>
      </w:r>
    </w:p>
    <w:p w14:paraId="403FAD53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مطلب آن است که مسأله‌</w:t>
      </w:r>
      <w:r>
        <w:rPr>
          <w:rFonts w:hint="cs"/>
          <w:rtl/>
        </w:rPr>
        <w:t>ی</w:t>
      </w:r>
      <w:r>
        <w:rPr>
          <w:rtl/>
        </w:rPr>
        <w:t xml:space="preserve"> «اجتماع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«منقحِ (روشن‌کننده) صغرا» برا</w:t>
      </w:r>
      <w:r>
        <w:rPr>
          <w:rFonts w:hint="cs"/>
          <w:rtl/>
        </w:rPr>
        <w:t>ی</w:t>
      </w:r>
      <w:r>
        <w:rPr>
          <w:rtl/>
        </w:rPr>
        <w:t xml:space="preserve"> مسأله‌</w:t>
      </w:r>
      <w:r>
        <w:rPr>
          <w:rFonts w:hint="cs"/>
          <w:rtl/>
        </w:rPr>
        <w:t>ی</w:t>
      </w:r>
      <w:r>
        <w:rPr>
          <w:rtl/>
        </w:rPr>
        <w:t xml:space="preserve"> «دلالت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فساد» است.</w:t>
      </w:r>
    </w:p>
    <w:p w14:paraId="65E91833" w14:textId="278DE23B" w:rsidR="0051718F" w:rsidRDefault="0051718F" w:rsidP="0051718F">
      <w:pPr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آنکه: مسأله‌</w:t>
      </w:r>
      <w:r>
        <w:rPr>
          <w:rFonts w:hint="cs"/>
          <w:rtl/>
        </w:rPr>
        <w:t>ی</w:t>
      </w:r>
      <w:r>
        <w:rPr>
          <w:rtl/>
        </w:rPr>
        <w:t xml:space="preserve"> «دلالت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فساد» متکفل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کبراست که «کل نه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العبادات 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الفساد» (هر نه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عبادات دلالت بر فساد دارد). صغرا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خاص (مثل نماز در دار غصب</w:t>
      </w:r>
      <w:r>
        <w:rPr>
          <w:rFonts w:hint="cs"/>
          <w:rtl/>
        </w:rPr>
        <w:t>ی</w:t>
      </w:r>
      <w:r>
        <w:rPr>
          <w:rtl/>
        </w:rPr>
        <w:t>) متعلقِ نه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ر؟»</w:t>
      </w:r>
    </w:p>
    <w:p w14:paraId="3A524E92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بحث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قائل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تعدد عنوان (عنوان صلاة و عنوان غصب) به معنون (فعل خارج</w:t>
      </w:r>
      <w:r>
        <w:rPr>
          <w:rFonts w:hint="cs"/>
          <w:rtl/>
        </w:rPr>
        <w:t>ی</w:t>
      </w:r>
      <w:r>
        <w:rPr>
          <w:rtl/>
        </w:rPr>
        <w:t>)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دو فعل جداگانه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رخ نداده تا فساد لازم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متعلق نه</w:t>
      </w:r>
      <w:r>
        <w:rPr>
          <w:rFonts w:hint="cs"/>
          <w:rtl/>
        </w:rPr>
        <w:t>ی</w:t>
      </w:r>
      <w:r>
        <w:rPr>
          <w:rtl/>
        </w:rPr>
        <w:t xml:space="preserve"> غصب است و متعلق امر نماز). اما اگر قائل به «امتناع اجتماع» ش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تعدد عنوان به معنون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فعلِ واحد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 مأموربه باشد و هم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029CFC0D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در بحث اجتماع، قائل به امتناع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جانب نه</w:t>
      </w:r>
      <w:r>
        <w:rPr>
          <w:rFonts w:hint="cs"/>
          <w:rtl/>
        </w:rPr>
        <w:t>ی</w:t>
      </w:r>
      <w:r>
        <w:rPr>
          <w:rtl/>
        </w:rPr>
        <w:t xml:space="preserve">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(تغل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جانب نه</w:t>
      </w:r>
      <w:r>
        <w:rPr>
          <w:rFonts w:hint="cs"/>
          <w:rtl/>
        </w:rPr>
        <w:t>ی</w:t>
      </w:r>
      <w:r>
        <w:rPr>
          <w:rtl/>
        </w:rPr>
        <w:t>) -که ما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قائل به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مبعِّد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مقرِّب باشد-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فعلِ خارج</w:t>
      </w:r>
      <w:r>
        <w:rPr>
          <w:rFonts w:hint="cs"/>
          <w:rtl/>
        </w:rPr>
        <w:t>ی</w:t>
      </w:r>
      <w:r>
        <w:rPr>
          <w:rtl/>
        </w:rPr>
        <w:t xml:space="preserve"> (نماز در دار غصب</w:t>
      </w:r>
      <w:r>
        <w:rPr>
          <w:rFonts w:hint="cs"/>
          <w:rtl/>
        </w:rPr>
        <w:t>ی</w:t>
      </w:r>
      <w:r>
        <w:rPr>
          <w:rtl/>
        </w:rPr>
        <w:t>) «متعلقِ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ثابت شد که متعلق نه</w:t>
      </w:r>
      <w:r>
        <w:rPr>
          <w:rFonts w:hint="cs"/>
          <w:rtl/>
        </w:rPr>
        <w:t>ی</w:t>
      </w:r>
      <w:r>
        <w:rPr>
          <w:rtl/>
        </w:rPr>
        <w:t xml:space="preserve"> است (تحقق صغ</w:t>
      </w:r>
      <w:r>
        <w:rPr>
          <w:rFonts w:hint="eastAsia"/>
          <w:rtl/>
        </w:rPr>
        <w:t>را</w:t>
      </w:r>
      <w:r>
        <w:rPr>
          <w:rtl/>
        </w:rPr>
        <w:t>)، تحت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«نه</w:t>
      </w:r>
      <w:r>
        <w:rPr>
          <w:rFonts w:hint="cs"/>
          <w:rtl/>
        </w:rPr>
        <w:t>ی</w:t>
      </w:r>
      <w:r>
        <w:rPr>
          <w:rtl/>
        </w:rPr>
        <w:t xml:space="preserve"> در عبادت موجب فساد است»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حکم به فساد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B7E3D5D" w14:textId="77777777" w:rsidR="0051718F" w:rsidRDefault="0051718F" w:rsidP="0051718F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مسأله‌</w:t>
      </w:r>
      <w:r>
        <w:rPr>
          <w:rFonts w:hint="cs"/>
          <w:rtl/>
        </w:rPr>
        <w:t>ی</w:t>
      </w:r>
      <w:r>
        <w:rPr>
          <w:rtl/>
        </w:rPr>
        <w:t xml:space="preserve">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مصداق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تحت عنوان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sectPr w:rsidR="0051718F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95EA" w14:textId="77777777" w:rsidR="00F27CFC" w:rsidRDefault="00F27CFC" w:rsidP="00DB25E6">
      <w:pPr>
        <w:spacing w:after="0" w:line="240" w:lineRule="auto"/>
      </w:pPr>
      <w:r>
        <w:separator/>
      </w:r>
    </w:p>
  </w:endnote>
  <w:endnote w:type="continuationSeparator" w:id="0">
    <w:p w14:paraId="37D0185A" w14:textId="77777777" w:rsidR="00F27CFC" w:rsidRDefault="00F27CFC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7BF4" w14:textId="77777777" w:rsidR="00F27CFC" w:rsidRDefault="00F27CFC" w:rsidP="00DB25E6">
      <w:pPr>
        <w:spacing w:after="0" w:line="240" w:lineRule="auto"/>
      </w:pPr>
      <w:r>
        <w:separator/>
      </w:r>
    </w:p>
  </w:footnote>
  <w:footnote w:type="continuationSeparator" w:id="0">
    <w:p w14:paraId="5FA9FC27" w14:textId="77777777" w:rsidR="00F27CFC" w:rsidRDefault="00F27CFC" w:rsidP="00DB25E6">
      <w:pPr>
        <w:spacing w:after="0" w:line="240" w:lineRule="auto"/>
      </w:pPr>
      <w:r>
        <w:continuationSeparator/>
      </w:r>
    </w:p>
  </w:footnote>
  <w:footnote w:id="1">
    <w:p w14:paraId="263782D8" w14:textId="5AC191D8" w:rsidR="00C46A8E" w:rsidRDefault="00C46A8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قصص، آیه 77</w:t>
      </w:r>
    </w:p>
  </w:footnote>
  <w:footnote w:id="2">
    <w:p w14:paraId="1B44943D" w14:textId="24C40612" w:rsidR="00B212C9" w:rsidRDefault="00B212C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بقره، آیه 279</w:t>
      </w:r>
    </w:p>
  </w:footnote>
  <w:footnote w:id="3">
    <w:p w14:paraId="64135242" w14:textId="6F4739A1" w:rsidR="00B859DD" w:rsidRPr="00B859DD" w:rsidRDefault="00B859DD" w:rsidP="00B859DD">
      <w:pPr>
        <w:pStyle w:val="FootnoteText"/>
      </w:pPr>
      <w:r w:rsidRPr="00B859DD">
        <w:footnoteRef/>
      </w:r>
      <w:r w:rsidRPr="00B859DD">
        <w:rPr>
          <w:rtl/>
        </w:rPr>
        <w:t xml:space="preserve"> </w:t>
      </w:r>
      <w:hyperlink r:id="rId1" w:history="1">
        <w:r w:rsidRPr="00B859DD">
          <w:rPr>
            <w:rStyle w:val="Hyperlink"/>
            <w:rtl/>
          </w:rPr>
          <w:t>وسائل الشيعة، الشيخ الحر العاملي، ج25، ص108، أبواب ، باب، ح، ط آل البيت.</w:t>
        </w:r>
      </w:hyperlink>
    </w:p>
  </w:footnote>
  <w:footnote w:id="4">
    <w:p w14:paraId="71F974CE" w14:textId="69B8A9B8" w:rsidR="0096494D" w:rsidRPr="0096494D" w:rsidRDefault="0096494D" w:rsidP="0096494D">
      <w:pPr>
        <w:pStyle w:val="FootnoteText"/>
      </w:pPr>
      <w:r w:rsidRPr="0096494D">
        <w:footnoteRef/>
      </w:r>
      <w:r w:rsidRPr="0096494D">
        <w:rPr>
          <w:rtl/>
        </w:rPr>
        <w:t xml:space="preserve"> </w:t>
      </w:r>
      <w:hyperlink r:id="rId2" w:history="1">
        <w:r w:rsidRPr="0096494D">
          <w:rPr>
            <w:rStyle w:val="Hyperlink"/>
            <w:rFonts w:hint="eastAsia"/>
            <w:rtl/>
          </w:rPr>
          <w:t>مطارح</w:t>
        </w:r>
        <w:r w:rsidRPr="0096494D">
          <w:rPr>
            <w:rStyle w:val="Hyperlink"/>
            <w:rtl/>
          </w:rPr>
          <w:t xml:space="preserve"> الأنظار، الكلانتري الطهراني، الميرزا أبو القاسم، ج1، ص751.</w:t>
        </w:r>
      </w:hyperlink>
    </w:p>
  </w:footnote>
  <w:footnote w:id="5">
    <w:p w14:paraId="5722CA79" w14:textId="4BF0193D" w:rsidR="0096494D" w:rsidRPr="0096494D" w:rsidRDefault="0096494D" w:rsidP="0096494D">
      <w:pPr>
        <w:pStyle w:val="FootnoteText"/>
      </w:pPr>
      <w:r w:rsidRPr="0096494D">
        <w:footnoteRef/>
      </w:r>
      <w:r w:rsidRPr="0096494D">
        <w:rPr>
          <w:rtl/>
        </w:rPr>
        <w:t xml:space="preserve"> </w:t>
      </w:r>
      <w:hyperlink r:id="rId3" w:history="1">
        <w:r w:rsidRPr="0096494D">
          <w:rPr>
            <w:rStyle w:val="Hyperlink"/>
            <w:rFonts w:hint="eastAsia"/>
            <w:rtl/>
          </w:rPr>
          <w:t>منتقى</w:t>
        </w:r>
        <w:r w:rsidRPr="0096494D">
          <w:rPr>
            <w:rStyle w:val="Hyperlink"/>
            <w:rtl/>
          </w:rPr>
          <w:t xml:space="preserve"> الأصول، الحكيم، السيد عبد الصاحب، ج5، ص301.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FB29BFC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2472A1">
      <w:rPr>
        <w:rFonts w:ascii="Noor_Zar" w:hAnsi="Noor_Zar" w:cs="B Mitra" w:hint="cs"/>
        <w:b/>
        <w:bCs/>
        <w:sz w:val="20"/>
        <w:szCs w:val="20"/>
        <w:rtl/>
      </w:rPr>
      <w:t>2</w:t>
    </w:r>
    <w:r w:rsidR="00D86013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BB0"/>
    <w:rsid w:val="00021D18"/>
    <w:rsid w:val="00021F21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49D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CE2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1C38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5A3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2D0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4EBC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6F1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4C9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CC8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8D8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6B4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AE4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2C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D65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20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7DA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2B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B49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0D9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92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C57"/>
    <w:rsid w:val="00432D11"/>
    <w:rsid w:val="00432FEC"/>
    <w:rsid w:val="00432FFB"/>
    <w:rsid w:val="004332CE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1FF7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446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B7FBC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BB1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892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18F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C6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4E88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CB6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76B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BFA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C6E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4F7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B1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38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117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09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23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2E7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5FA9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B5C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369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2FF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B90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2FF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30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94D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937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B8B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09E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3F26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685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2C9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070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33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12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9DD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2D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E27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8E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69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01E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01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052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13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68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2AB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3D85"/>
    <w:rsid w:val="00DF418E"/>
    <w:rsid w:val="00DF42AB"/>
    <w:rsid w:val="00DF4301"/>
    <w:rsid w:val="00DF46B1"/>
    <w:rsid w:val="00DF471E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5F9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2E3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69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CFC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917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9C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50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3050/5/301/&#1593;&#1602;&#1740;&#1576;" TargetMode="External"/><Relationship Id="rId2" Type="http://schemas.openxmlformats.org/officeDocument/2006/relationships/hyperlink" Target="https://lib.eshia.ir/27880/1/751/&#1575;&#1604;&#1606;&#1607;&#1740;" TargetMode="External"/><Relationship Id="rId1" Type="http://schemas.openxmlformats.org/officeDocument/2006/relationships/hyperlink" Target="https://lib.eshia.ir/11025/25/108/&#1575;&#1604;&#1587;&#1605;&#160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1245</Words>
  <Characters>7100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2025-12-20T11:23:00Z</cp:lastPrinted>
  <dcterms:created xsi:type="dcterms:W3CDTF">2025-12-30T16:24:00Z</dcterms:created>
  <dcterms:modified xsi:type="dcterms:W3CDTF">2025-12-30T16:24:00Z</dcterms:modified>
</cp:coreProperties>
</file>